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95B264" w14:textId="78E1D0C9"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2569EE">
        <w:rPr>
          <w:noProof w:val="0"/>
          <w:sz w:val="24"/>
          <w:szCs w:val="24"/>
          <w:lang w:val="en-US" w:eastAsia="zh-TW"/>
        </w:rPr>
        <w:t>8</w:t>
      </w:r>
      <w:r w:rsidRPr="001C1A03">
        <w:rPr>
          <w:bCs/>
          <w:noProof w:val="0"/>
          <w:sz w:val="24"/>
          <w:szCs w:val="24"/>
          <w:lang w:val="en-US"/>
        </w:rPr>
        <w:tab/>
      </w:r>
      <w:r w:rsidR="004B3508" w:rsidRPr="004B3508">
        <w:rPr>
          <w:bCs/>
          <w:noProof w:val="0"/>
          <w:sz w:val="24"/>
          <w:szCs w:val="24"/>
          <w:lang w:val="en-US"/>
        </w:rPr>
        <w:t>R2-2</w:t>
      </w:r>
      <w:r w:rsidR="00DD0EAB">
        <w:rPr>
          <w:bCs/>
          <w:noProof w:val="0"/>
          <w:sz w:val="24"/>
          <w:szCs w:val="24"/>
          <w:lang w:val="en-US"/>
        </w:rPr>
        <w:t>4</w:t>
      </w:r>
      <w:r w:rsidR="002F27D5">
        <w:rPr>
          <w:bCs/>
          <w:noProof w:val="0"/>
          <w:sz w:val="24"/>
          <w:szCs w:val="24"/>
          <w:lang w:val="en-US"/>
        </w:rPr>
        <w:t>09957</w:t>
      </w:r>
    </w:p>
    <w:p w14:paraId="15E990BB" w14:textId="199F86FA" w:rsidR="004770F0" w:rsidRPr="00737122" w:rsidRDefault="002569EE" w:rsidP="004770F0">
      <w:pPr>
        <w:pStyle w:val="Header"/>
        <w:tabs>
          <w:tab w:val="right" w:pos="9639"/>
        </w:tabs>
        <w:rPr>
          <w:noProof w:val="0"/>
          <w:sz w:val="24"/>
          <w:szCs w:val="24"/>
          <w:lang w:val="da-DK"/>
        </w:rPr>
      </w:pPr>
      <w:r>
        <w:rPr>
          <w:bCs/>
          <w:sz w:val="24"/>
        </w:rPr>
        <w:t>Orlando</w:t>
      </w:r>
      <w:r w:rsidR="00D722FE">
        <w:rPr>
          <w:rFonts w:eastAsia="SimSun"/>
          <w:sz w:val="24"/>
          <w:szCs w:val="24"/>
          <w:lang w:eastAsia="zh-CN"/>
        </w:rPr>
        <w:t xml:space="preserve">, </w:t>
      </w:r>
      <w:r>
        <w:rPr>
          <w:rFonts w:eastAsia="SimSun"/>
          <w:sz w:val="24"/>
          <w:szCs w:val="24"/>
          <w:lang w:eastAsia="zh-CN"/>
        </w:rPr>
        <w:t>USA</w:t>
      </w:r>
      <w:r w:rsidR="00D722FE">
        <w:rPr>
          <w:rFonts w:eastAsia="SimSun"/>
          <w:sz w:val="24"/>
          <w:szCs w:val="24"/>
          <w:lang w:eastAsia="zh-CN"/>
        </w:rPr>
        <w:t>, 1</w:t>
      </w:r>
      <w:r>
        <w:rPr>
          <w:rFonts w:eastAsia="SimSun"/>
          <w:sz w:val="24"/>
          <w:szCs w:val="24"/>
          <w:lang w:eastAsia="zh-CN"/>
        </w:rPr>
        <w:t>8</w:t>
      </w:r>
      <w:r w:rsidR="00D722FE">
        <w:rPr>
          <w:rFonts w:eastAsia="SimSun"/>
          <w:sz w:val="24"/>
          <w:szCs w:val="24"/>
          <w:lang w:eastAsia="zh-CN"/>
        </w:rPr>
        <w:t xml:space="preserve"> </w:t>
      </w:r>
      <w:r w:rsidR="00D722FE" w:rsidRPr="0099316A">
        <w:rPr>
          <w:rFonts w:eastAsia="SimSun"/>
          <w:sz w:val="24"/>
          <w:szCs w:val="24"/>
          <w:lang w:val="en-US" w:eastAsia="zh-CN"/>
        </w:rPr>
        <w:t>–</w:t>
      </w:r>
      <w:r w:rsidR="00D722FE" w:rsidRPr="0099316A">
        <w:rPr>
          <w:rFonts w:eastAsia="SimSun"/>
          <w:sz w:val="24"/>
          <w:szCs w:val="24"/>
          <w:lang w:eastAsia="zh-CN"/>
        </w:rPr>
        <w:t xml:space="preserve"> </w:t>
      </w:r>
      <w:r>
        <w:rPr>
          <w:rFonts w:eastAsia="SimSun"/>
          <w:sz w:val="24"/>
          <w:szCs w:val="24"/>
          <w:lang w:eastAsia="zh-CN"/>
        </w:rPr>
        <w:t>22</w:t>
      </w:r>
      <w:r w:rsidR="00D722FE" w:rsidRPr="0099316A">
        <w:rPr>
          <w:rFonts w:eastAsia="SimSun"/>
          <w:sz w:val="24"/>
          <w:szCs w:val="24"/>
          <w:lang w:eastAsia="zh-CN"/>
        </w:rPr>
        <w:t xml:space="preserve"> </w:t>
      </w:r>
      <w:r>
        <w:rPr>
          <w:rFonts w:eastAsia="SimSun"/>
          <w:sz w:val="24"/>
          <w:szCs w:val="24"/>
          <w:lang w:eastAsia="zh-CN"/>
        </w:rPr>
        <w:t>Novem</w:t>
      </w:r>
      <w:r w:rsidR="00D722FE">
        <w:rPr>
          <w:rFonts w:eastAsia="SimSun"/>
          <w:sz w:val="24"/>
          <w:szCs w:val="24"/>
          <w:lang w:eastAsia="zh-CN"/>
        </w:rPr>
        <w:t>ber 2024</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34CF437E"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3554A7">
        <w:rPr>
          <w:rFonts w:cs="Arial"/>
          <w:b/>
          <w:bCs/>
          <w:sz w:val="24"/>
          <w:lang w:val="da-DK"/>
        </w:rPr>
        <w:t>8</w:t>
      </w:r>
      <w:r w:rsidR="00E2457D">
        <w:rPr>
          <w:rFonts w:cs="Arial"/>
          <w:b/>
          <w:bCs/>
          <w:sz w:val="24"/>
          <w:lang w:val="da-DK"/>
        </w:rPr>
        <w:t>.</w:t>
      </w:r>
      <w:r w:rsidR="003554A7">
        <w:rPr>
          <w:rFonts w:cs="Arial"/>
          <w:b/>
          <w:bCs/>
          <w:sz w:val="24"/>
          <w:lang w:val="da-DK"/>
        </w:rPr>
        <w:t>7.</w:t>
      </w:r>
      <w:r w:rsidR="00840EE5">
        <w:rPr>
          <w:rFonts w:cs="Arial"/>
          <w:b/>
          <w:bCs/>
          <w:sz w:val="24"/>
          <w:lang w:val="da-DK"/>
        </w:rPr>
        <w:t>4</w:t>
      </w:r>
      <w:r w:rsidR="00D722FE">
        <w:rPr>
          <w:rFonts w:cs="Arial"/>
          <w:b/>
          <w:bCs/>
          <w:sz w:val="24"/>
          <w:lang w:val="da-DK"/>
        </w:rPr>
        <w:t>.2</w:t>
      </w:r>
    </w:p>
    <w:p w14:paraId="52412B5A" w14:textId="400BB24A"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2174D5A0"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3554A7">
        <w:rPr>
          <w:rFonts w:ascii="Arial" w:hAnsi="Arial" w:cs="Arial"/>
          <w:b/>
          <w:bCs/>
          <w:sz w:val="24"/>
          <w:lang w:val="en-US"/>
        </w:rPr>
        <w:t xml:space="preserve">Views on </w:t>
      </w:r>
      <w:r w:rsidR="00D722FE">
        <w:rPr>
          <w:rFonts w:ascii="Arial" w:hAnsi="Arial" w:cs="Arial"/>
          <w:b/>
          <w:bCs/>
          <w:sz w:val="24"/>
          <w:lang w:val="en-US"/>
        </w:rPr>
        <w:t xml:space="preserve">DSR </w:t>
      </w:r>
      <w:r w:rsidR="001022CC">
        <w:rPr>
          <w:rFonts w:ascii="Arial" w:hAnsi="Arial" w:cs="Arial"/>
          <w:b/>
          <w:bCs/>
          <w:sz w:val="24"/>
          <w:lang w:val="en-US"/>
        </w:rPr>
        <w:t>Enhancements</w:t>
      </w:r>
    </w:p>
    <w:p w14:paraId="040E0889" w14:textId="32EFEC54"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D66704" w:rsidRPr="007355BF">
        <w:rPr>
          <w:rFonts w:ascii="Arial" w:hAnsi="Arial" w:cs="Arial"/>
          <w:b/>
          <w:bCs/>
          <w:sz w:val="24"/>
        </w:rPr>
        <w:t>NR_XR_</w:t>
      </w:r>
      <w:r w:rsidR="00D66704">
        <w:rPr>
          <w:rFonts w:ascii="Arial" w:hAnsi="Arial" w:cs="Arial"/>
          <w:b/>
          <w:bCs/>
          <w:sz w:val="24"/>
        </w:rPr>
        <w:t>Ph3-Core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6E6342CA" w14:textId="77777777" w:rsidR="001022CC" w:rsidRDefault="001022CC" w:rsidP="001022CC">
      <w:pPr>
        <w:jc w:val="both"/>
        <w:rPr>
          <w:iCs/>
          <w:lang w:val="en-US"/>
        </w:rPr>
      </w:pPr>
      <w:r>
        <w:rPr>
          <w:iCs/>
          <w:lang w:val="en-US"/>
        </w:rPr>
        <w:t>Based on the study in Rel-19 XR Phase 3, the following objective has been added to the work item [1]:</w:t>
      </w:r>
    </w:p>
    <w:p w14:paraId="7106255C" w14:textId="77777777" w:rsidR="001022CC" w:rsidRPr="007E5C12" w:rsidRDefault="001022CC" w:rsidP="001022CC">
      <w:pPr>
        <w:pStyle w:val="B1"/>
        <w:rPr>
          <w:i/>
          <w:iCs/>
          <w:lang w:val="en-US"/>
        </w:rPr>
      </w:pPr>
      <w:r w:rsidRPr="007E5C12">
        <w:rPr>
          <w:i/>
          <w:iCs/>
          <w:lang w:val="en-US"/>
        </w:rPr>
        <w:t>-</w:t>
      </w:r>
      <w:r w:rsidRPr="007E5C12">
        <w:rPr>
          <w:i/>
          <w:iCs/>
          <w:lang w:val="en-US"/>
        </w:rPr>
        <w:tab/>
        <w:t>Specify Enhancements for support of UL scheduling to enable high XR capacity while meeting delay requirements/avoiding too late PDUs, as follows [RAN2]:</w:t>
      </w:r>
    </w:p>
    <w:p w14:paraId="13D41C82" w14:textId="77777777" w:rsidR="001022CC" w:rsidRPr="007E5C12" w:rsidRDefault="001022CC" w:rsidP="001022CC">
      <w:pPr>
        <w:pStyle w:val="B2"/>
        <w:rPr>
          <w:i/>
          <w:iCs/>
          <w:lang w:val="en-US"/>
        </w:rPr>
      </w:pPr>
      <w:r w:rsidRPr="007E5C12">
        <w:rPr>
          <w:i/>
          <w:iCs/>
          <w:lang w:val="en-US"/>
        </w:rPr>
        <w:t>-</w:t>
      </w:r>
      <w:r w:rsidRPr="007E5C12">
        <w:rPr>
          <w:i/>
          <w:iCs/>
          <w:lang w:val="en-US"/>
        </w:rPr>
        <w:tab/>
        <w:t xml:space="preserve">Specify additional Logical Channel priority handling using delay/deadline information of </w:t>
      </w:r>
      <w:proofErr w:type="gramStart"/>
      <w:r w:rsidRPr="007E5C12">
        <w:rPr>
          <w:i/>
          <w:iCs/>
          <w:lang w:val="en-US"/>
        </w:rPr>
        <w:t>packets;</w:t>
      </w:r>
      <w:proofErr w:type="gramEnd"/>
    </w:p>
    <w:p w14:paraId="4B5651DC" w14:textId="77777777" w:rsidR="001022CC" w:rsidRPr="007E5C12" w:rsidRDefault="001022CC" w:rsidP="001022CC">
      <w:pPr>
        <w:pStyle w:val="B2"/>
        <w:rPr>
          <w:i/>
          <w:iCs/>
          <w:lang w:val="en-US"/>
        </w:rPr>
      </w:pPr>
      <w:r w:rsidRPr="007E5C12">
        <w:rPr>
          <w:i/>
          <w:iCs/>
          <w:lang w:val="en-US"/>
        </w:rPr>
        <w:t>-</w:t>
      </w:r>
      <w:r w:rsidRPr="007E5C12">
        <w:rPr>
          <w:i/>
          <w:iCs/>
          <w:lang w:val="en-US"/>
        </w:rPr>
        <w:tab/>
        <w:t>Specify enhanced DSR (Delay Status Report) reporting with multiple pairs of remaining time and buffer size for an LCG.</w:t>
      </w:r>
    </w:p>
    <w:p w14:paraId="22C0E7C8" w14:textId="77777777" w:rsidR="00727BB9" w:rsidRDefault="00727BB9" w:rsidP="000D48E4">
      <w:pPr>
        <w:jc w:val="both"/>
        <w:rPr>
          <w:iCs/>
          <w:lang w:val="en-US"/>
        </w:rPr>
      </w:pPr>
    </w:p>
    <w:p w14:paraId="7F134860" w14:textId="29708584" w:rsidR="009A039A" w:rsidRDefault="006B3966" w:rsidP="000D48E4">
      <w:pPr>
        <w:jc w:val="both"/>
        <w:rPr>
          <w:iCs/>
          <w:lang w:val="en-US"/>
        </w:rPr>
      </w:pPr>
      <w:r>
        <w:rPr>
          <w:iCs/>
          <w:lang w:val="en-US"/>
        </w:rPr>
        <w:t>For DSR enhancements, we have made the following agreements in previous meetings</w:t>
      </w:r>
      <w:r w:rsidR="004136F8">
        <w:rPr>
          <w:iCs/>
          <w:lang w:val="en-US"/>
        </w:rPr>
        <w:t xml:space="preserve"> [2,3]</w:t>
      </w:r>
      <w:r w:rsidR="00F30726">
        <w:rPr>
          <w:iCs/>
          <w:lang w:val="en-US"/>
        </w:rPr>
        <w:t>:</w:t>
      </w:r>
    </w:p>
    <w:tbl>
      <w:tblPr>
        <w:tblStyle w:val="TableGrid"/>
        <w:tblW w:w="0" w:type="auto"/>
        <w:tblLook w:val="04A0" w:firstRow="1" w:lastRow="0" w:firstColumn="1" w:lastColumn="0" w:noHBand="0" w:noVBand="1"/>
      </w:tblPr>
      <w:tblGrid>
        <w:gridCol w:w="9350"/>
      </w:tblGrid>
      <w:tr w:rsidR="00F30726" w14:paraId="6CE89CDB" w14:textId="77777777" w:rsidTr="00F30726">
        <w:tc>
          <w:tcPr>
            <w:tcW w:w="9350" w:type="dxa"/>
          </w:tcPr>
          <w:p w14:paraId="2C0C8E25" w14:textId="03BF8654" w:rsidR="001022CC" w:rsidRPr="001022CC" w:rsidRDefault="001022CC" w:rsidP="000D48E4">
            <w:pPr>
              <w:jc w:val="both"/>
              <w:rPr>
                <w:b/>
                <w:bCs/>
                <w:iCs/>
                <w:u w:val="single"/>
                <w:lang w:val="en-US"/>
              </w:rPr>
            </w:pPr>
            <w:r w:rsidRPr="001C39AC">
              <w:rPr>
                <w:b/>
                <w:bCs/>
                <w:iCs/>
                <w:u w:val="single"/>
                <w:lang w:val="en-US"/>
              </w:rPr>
              <w:t>RAN2 #12</w:t>
            </w:r>
            <w:r>
              <w:rPr>
                <w:b/>
                <w:bCs/>
                <w:iCs/>
                <w:u w:val="single"/>
                <w:lang w:val="en-US"/>
              </w:rPr>
              <w:t>7</w:t>
            </w:r>
            <w:r w:rsidRPr="001C39AC">
              <w:rPr>
                <w:b/>
                <w:bCs/>
                <w:iCs/>
                <w:u w:val="single"/>
                <w:lang w:val="en-US"/>
              </w:rPr>
              <w:t xml:space="preserve"> Agreements:</w:t>
            </w:r>
          </w:p>
          <w:p w14:paraId="78B5F6B5" w14:textId="77777777" w:rsidR="001022CC" w:rsidRDefault="001022CC" w:rsidP="001022CC">
            <w:pPr>
              <w:pStyle w:val="Agreement"/>
              <w:tabs>
                <w:tab w:val="clear" w:pos="1009"/>
                <w:tab w:val="clear" w:pos="1980"/>
                <w:tab w:val="num" w:pos="1619"/>
              </w:tabs>
              <w:ind w:left="1619"/>
            </w:pPr>
            <w:r w:rsidRPr="005A2F81">
              <w:t xml:space="preserve">Network should be able to configure multiple remaining time thresholds </w:t>
            </w:r>
            <w:r>
              <w:t xml:space="preserve">for reporting </w:t>
            </w:r>
            <w:r w:rsidRPr="005A2F81">
              <w:t>for each LCG to report multiple pairs of remaining time and buffer sizes per LCG.</w:t>
            </w:r>
          </w:p>
          <w:p w14:paraId="2B445C46" w14:textId="77777777" w:rsidR="001022CC" w:rsidRDefault="001022CC" w:rsidP="001022CC">
            <w:pPr>
              <w:pStyle w:val="Agreement"/>
              <w:tabs>
                <w:tab w:val="clear" w:pos="1009"/>
                <w:tab w:val="clear" w:pos="1980"/>
                <w:tab w:val="num" w:pos="1619"/>
              </w:tabs>
              <w:ind w:left="1619"/>
            </w:pPr>
            <w:r>
              <w:t>For enhanced DSR:</w:t>
            </w:r>
          </w:p>
          <w:p w14:paraId="7894B93A" w14:textId="77777777" w:rsidR="001022CC" w:rsidRDefault="001022CC" w:rsidP="001022CC">
            <w:pPr>
              <w:pStyle w:val="Agreement"/>
              <w:numPr>
                <w:ilvl w:val="2"/>
                <w:numId w:val="1"/>
              </w:numPr>
              <w:tabs>
                <w:tab w:val="clear" w:pos="919"/>
                <w:tab w:val="clear" w:pos="1980"/>
                <w:tab w:val="num" w:pos="2160"/>
              </w:tabs>
              <w:ind w:left="2160"/>
            </w:pPr>
            <w:r>
              <w:t>There will be a single triggering threshold, as in Rel-18. FFS whether there are any constraints on how the NW configures DSR triggering and reporting thresholds</w:t>
            </w:r>
          </w:p>
          <w:p w14:paraId="7C92D111" w14:textId="77777777" w:rsidR="001022CC" w:rsidRPr="00115319" w:rsidRDefault="001022CC" w:rsidP="001022CC">
            <w:pPr>
              <w:pStyle w:val="Agreement"/>
              <w:numPr>
                <w:ilvl w:val="2"/>
                <w:numId w:val="1"/>
              </w:numPr>
              <w:tabs>
                <w:tab w:val="clear" w:pos="919"/>
                <w:tab w:val="clear" w:pos="1980"/>
                <w:tab w:val="num" w:pos="2160"/>
              </w:tabs>
              <w:ind w:left="2160"/>
            </w:pPr>
            <w:r>
              <w:t>FFS whether there is any impact on delay critical data definition due to multiple reporting thresholds in the DSR</w:t>
            </w:r>
          </w:p>
          <w:p w14:paraId="504DC428" w14:textId="77777777" w:rsidR="001022CC" w:rsidRDefault="001022CC" w:rsidP="001022CC">
            <w:pPr>
              <w:pStyle w:val="Agreement"/>
              <w:numPr>
                <w:ilvl w:val="2"/>
                <w:numId w:val="1"/>
              </w:numPr>
              <w:tabs>
                <w:tab w:val="clear" w:pos="919"/>
                <w:tab w:val="clear" w:pos="1980"/>
                <w:tab w:val="num" w:pos="2160"/>
              </w:tabs>
              <w:ind w:left="2160"/>
            </w:pPr>
            <w:r>
              <w:t>FFS whether to i</w:t>
            </w:r>
            <w:r w:rsidRPr="00111B6C">
              <w:t xml:space="preserve">nclude </w:t>
            </w:r>
            <w:r>
              <w:t>non-delay critical</w:t>
            </w:r>
            <w:r w:rsidRPr="00111B6C">
              <w:t xml:space="preserve"> data ahead of delay critical data in the buffer size calculation for DSR</w:t>
            </w:r>
          </w:p>
          <w:p w14:paraId="41B00016" w14:textId="77777777" w:rsidR="002569EE" w:rsidRDefault="002569EE" w:rsidP="002569EE">
            <w:pPr>
              <w:rPr>
                <w:lang w:eastAsia="en-GB"/>
              </w:rPr>
            </w:pPr>
          </w:p>
          <w:p w14:paraId="18001FB1" w14:textId="07D9B023" w:rsidR="002569EE" w:rsidRPr="001022CC" w:rsidRDefault="002569EE" w:rsidP="002569EE">
            <w:pPr>
              <w:jc w:val="both"/>
              <w:rPr>
                <w:b/>
                <w:bCs/>
                <w:iCs/>
                <w:u w:val="single"/>
                <w:lang w:val="en-US"/>
              </w:rPr>
            </w:pPr>
            <w:r w:rsidRPr="001C39AC">
              <w:rPr>
                <w:b/>
                <w:bCs/>
                <w:iCs/>
                <w:u w:val="single"/>
                <w:lang w:val="en-US"/>
              </w:rPr>
              <w:t>RAN2 #12</w:t>
            </w:r>
            <w:r>
              <w:rPr>
                <w:b/>
                <w:bCs/>
                <w:iCs/>
                <w:u w:val="single"/>
                <w:lang w:val="en-US"/>
              </w:rPr>
              <w:t>7</w:t>
            </w:r>
            <w:r>
              <w:rPr>
                <w:b/>
                <w:bCs/>
                <w:iCs/>
                <w:u w:val="single"/>
                <w:lang w:val="en-US"/>
              </w:rPr>
              <w:t>bis</w:t>
            </w:r>
            <w:r w:rsidRPr="001C39AC">
              <w:rPr>
                <w:b/>
                <w:bCs/>
                <w:iCs/>
                <w:u w:val="single"/>
                <w:lang w:val="en-US"/>
              </w:rPr>
              <w:t xml:space="preserve"> Agreements:</w:t>
            </w:r>
          </w:p>
          <w:p w14:paraId="5A1A9F2F" w14:textId="77777777" w:rsidR="002569EE" w:rsidRDefault="002569EE" w:rsidP="002569EE">
            <w:pPr>
              <w:pStyle w:val="Agreement"/>
              <w:tabs>
                <w:tab w:val="clear" w:pos="1009"/>
                <w:tab w:val="clear" w:pos="1980"/>
                <w:tab w:val="num" w:pos="1619"/>
              </w:tabs>
              <w:ind w:left="1619"/>
            </w:pPr>
            <w:r>
              <w:t>We do not change the definition of delay-critical data</w:t>
            </w:r>
          </w:p>
          <w:p w14:paraId="4A59ABF6" w14:textId="77777777" w:rsidR="002569EE" w:rsidRDefault="002569EE" w:rsidP="002569EE">
            <w:pPr>
              <w:pStyle w:val="Agreement"/>
              <w:tabs>
                <w:tab w:val="clear" w:pos="1009"/>
                <w:tab w:val="clear" w:pos="1980"/>
                <w:tab w:val="num" w:pos="1619"/>
              </w:tabs>
              <w:ind w:left="1619"/>
            </w:pPr>
            <w:r>
              <w:t>For the sake of RAN2 discussions, we use the following terms: triggering threshold, reporting threshold(s)</w:t>
            </w:r>
          </w:p>
          <w:p w14:paraId="0B5D3585" w14:textId="5636C571" w:rsidR="002569EE" w:rsidRDefault="002569EE" w:rsidP="002569EE">
            <w:pPr>
              <w:pStyle w:val="Agreement"/>
              <w:tabs>
                <w:tab w:val="clear" w:pos="1009"/>
                <w:tab w:val="clear" w:pos="1980"/>
                <w:tab w:val="num" w:pos="1619"/>
              </w:tabs>
              <w:ind w:left="1619"/>
            </w:pPr>
            <w:r>
              <w:lastRenderedPageBreak/>
              <w:t>Companies should analyse the impact of setting the triggering threshold to value lower than largest reporting threshold on DSR procedure, e.g. triggering, cancellation etc.</w:t>
            </w:r>
          </w:p>
          <w:p w14:paraId="11DADDA0" w14:textId="77777777" w:rsidR="002569EE" w:rsidRPr="00264B9F" w:rsidRDefault="002569EE" w:rsidP="002569EE">
            <w:pPr>
              <w:pStyle w:val="Agreement"/>
              <w:tabs>
                <w:tab w:val="clear" w:pos="1009"/>
                <w:tab w:val="clear" w:pos="1980"/>
                <w:tab w:val="num" w:pos="1619"/>
              </w:tabs>
              <w:ind w:left="1619"/>
              <w:rPr>
                <w:lang w:val="en-US"/>
              </w:rPr>
            </w:pPr>
            <w:r w:rsidRPr="00264B9F">
              <w:rPr>
                <w:lang w:val="en-US"/>
              </w:rPr>
              <w:t xml:space="preserve">For Rel-19 DSR, the buffered data is divided into multiple portions based on the multiple </w:t>
            </w:r>
            <w:r>
              <w:rPr>
                <w:lang w:val="en-US"/>
              </w:rPr>
              <w:t>reporting</w:t>
            </w:r>
            <w:r w:rsidRPr="00264B9F">
              <w:rPr>
                <w:lang w:val="en-US"/>
              </w:rPr>
              <w:t xml:space="preserve"> time threshold levels configured for an LCG. The Rel-19 DSR indicates the following information</w:t>
            </w:r>
            <w:r>
              <w:rPr>
                <w:lang w:val="en-US"/>
              </w:rPr>
              <w:t xml:space="preserve"> for each portion for which BS&gt;0</w:t>
            </w:r>
            <w:r w:rsidRPr="00264B9F">
              <w:rPr>
                <w:lang w:val="en-US"/>
              </w:rPr>
              <w:t>:</w:t>
            </w:r>
          </w:p>
          <w:p w14:paraId="14750058" w14:textId="77777777" w:rsidR="002569EE" w:rsidRPr="00264B9F" w:rsidRDefault="002569EE" w:rsidP="002569EE">
            <w:pPr>
              <w:pStyle w:val="Agreement"/>
              <w:numPr>
                <w:ilvl w:val="0"/>
                <w:numId w:val="0"/>
              </w:numPr>
              <w:ind w:left="1619"/>
              <w:rPr>
                <w:lang w:val="en-US"/>
              </w:rPr>
            </w:pPr>
            <w:r w:rsidRPr="00264B9F">
              <w:rPr>
                <w:lang w:val="en-US"/>
              </w:rPr>
              <w:t>•</w:t>
            </w:r>
            <w:r w:rsidRPr="00264B9F">
              <w:rPr>
                <w:lang w:val="en-US"/>
              </w:rPr>
              <w:tab/>
              <w:t>Buffer size of data volume in each portion</w:t>
            </w:r>
            <w:r>
              <w:rPr>
                <w:lang w:val="en-US"/>
              </w:rPr>
              <w:t xml:space="preserve"> </w:t>
            </w:r>
          </w:p>
          <w:p w14:paraId="6F18065F" w14:textId="0E415E77" w:rsidR="002569EE" w:rsidRDefault="002569EE" w:rsidP="00D3623D">
            <w:pPr>
              <w:pStyle w:val="Agreement"/>
              <w:numPr>
                <w:ilvl w:val="0"/>
                <w:numId w:val="0"/>
              </w:numPr>
              <w:ind w:left="1619"/>
              <w:rPr>
                <w:lang w:val="en-US"/>
              </w:rPr>
            </w:pPr>
            <w:r w:rsidRPr="00264B9F">
              <w:rPr>
                <w:lang w:val="en-US"/>
              </w:rPr>
              <w:t>•</w:t>
            </w:r>
            <w:r w:rsidRPr="00264B9F">
              <w:rPr>
                <w:lang w:val="en-US"/>
              </w:rPr>
              <w:tab/>
              <w:t>Shortest remaining time among PDCP SDUs buffered in each portion.</w:t>
            </w:r>
          </w:p>
          <w:p w14:paraId="07B9603A" w14:textId="77777777" w:rsidR="00506730" w:rsidRDefault="00506730" w:rsidP="00506730">
            <w:pPr>
              <w:pStyle w:val="Agreement"/>
              <w:tabs>
                <w:tab w:val="clear" w:pos="1009"/>
                <w:tab w:val="clear" w:pos="1980"/>
                <w:tab w:val="num" w:pos="1619"/>
              </w:tabs>
              <w:ind w:left="1619"/>
            </w:pPr>
            <w:r>
              <w:t>A one-bit indication may indicate whether a certain/further pair of remaining time information and buffer size information is present in the new DSR MAC CE for the associated LCG.</w:t>
            </w:r>
          </w:p>
          <w:p w14:paraId="66C9F5D3" w14:textId="06B0D263" w:rsidR="00506730" w:rsidRPr="00506730" w:rsidRDefault="00506730" w:rsidP="002569EE">
            <w:pPr>
              <w:pStyle w:val="Agreement"/>
              <w:tabs>
                <w:tab w:val="clear" w:pos="1009"/>
                <w:tab w:val="clear" w:pos="1980"/>
                <w:tab w:val="num" w:pos="1619"/>
              </w:tabs>
              <w:ind w:left="1619"/>
            </w:pPr>
            <w:r>
              <w:t xml:space="preserve">FFS whether old and new DSR can be configured/used at the same </w:t>
            </w:r>
            <w:proofErr w:type="gramStart"/>
            <w:r>
              <w:t>time</w:t>
            </w:r>
            <w:proofErr w:type="gramEnd"/>
            <w:r>
              <w:t xml:space="preserve"> or we always use a new DSR in case there is at least one LCG configured with multiple reporting thresholds</w:t>
            </w:r>
          </w:p>
        </w:tc>
      </w:tr>
    </w:tbl>
    <w:p w14:paraId="0A401772" w14:textId="77777777" w:rsidR="00F30726" w:rsidRDefault="00F30726" w:rsidP="000D48E4">
      <w:pPr>
        <w:jc w:val="both"/>
        <w:rPr>
          <w:iCs/>
          <w:lang w:val="en-US"/>
        </w:rPr>
      </w:pPr>
    </w:p>
    <w:p w14:paraId="1ADBC54B" w14:textId="37F5FF86" w:rsidR="00DF798C" w:rsidRDefault="00F30726" w:rsidP="000D48E4">
      <w:pPr>
        <w:jc w:val="both"/>
        <w:rPr>
          <w:iCs/>
          <w:lang w:val="en-US"/>
        </w:rPr>
      </w:pPr>
      <w:r>
        <w:rPr>
          <w:iCs/>
          <w:lang w:val="en-US"/>
        </w:rPr>
        <w:t xml:space="preserve">This paper presents some of our views </w:t>
      </w:r>
      <w:r w:rsidR="001022CC">
        <w:rPr>
          <w:iCs/>
          <w:lang w:val="en-US"/>
        </w:rPr>
        <w:t>on</w:t>
      </w:r>
      <w:r>
        <w:rPr>
          <w:iCs/>
          <w:lang w:val="en-US"/>
        </w:rPr>
        <w:t xml:space="preserve"> DSR enhancement.</w:t>
      </w:r>
    </w:p>
    <w:p w14:paraId="2280FDEC" w14:textId="05FD2A5D" w:rsidR="006B3966" w:rsidRPr="00506730" w:rsidRDefault="003569D6" w:rsidP="00506730">
      <w:pPr>
        <w:pStyle w:val="Heading1"/>
        <w:rPr>
          <w:lang w:val="en-US"/>
        </w:rPr>
      </w:pPr>
      <w:r>
        <w:rPr>
          <w:lang w:val="en-US"/>
        </w:rPr>
        <w:t>Discussion</w:t>
      </w:r>
      <w:r w:rsidR="004E6A7D">
        <w:rPr>
          <w:lang w:val="en-US"/>
        </w:rPr>
        <w:t>s</w:t>
      </w:r>
    </w:p>
    <w:p w14:paraId="0C680A84" w14:textId="3EBDD5B4" w:rsidR="0038631D" w:rsidRDefault="005E433F" w:rsidP="0038631D">
      <w:pPr>
        <w:pStyle w:val="Heading2"/>
        <w:rPr>
          <w:lang w:val="en-US"/>
        </w:rPr>
      </w:pPr>
      <w:r>
        <w:rPr>
          <w:lang w:val="en-US"/>
        </w:rPr>
        <w:t xml:space="preserve">Issues with </w:t>
      </w:r>
      <w:r w:rsidR="00506730">
        <w:rPr>
          <w:lang w:val="en-US"/>
        </w:rPr>
        <w:t>Triggering Threshold and Reporting Threshold</w:t>
      </w:r>
      <w:r w:rsidR="00FD32AF">
        <w:rPr>
          <w:lang w:val="en-US"/>
        </w:rPr>
        <w:t>s</w:t>
      </w:r>
    </w:p>
    <w:p w14:paraId="7E1F3641" w14:textId="77777777" w:rsidR="00B47B33" w:rsidRDefault="00E149AF" w:rsidP="00181FA7">
      <w:pPr>
        <w:jc w:val="both"/>
        <w:rPr>
          <w:lang w:val="en-US"/>
        </w:rPr>
      </w:pPr>
      <w:r>
        <w:rPr>
          <w:lang w:val="en-US"/>
        </w:rPr>
        <w:t>In previous meetings, we have debated about whether the DSR triggering threshold can be configurable, or if it should be simply set as the largest reporting threshold.</w:t>
      </w:r>
      <w:r w:rsidR="00B47B33">
        <w:rPr>
          <w:lang w:val="en-US"/>
        </w:rPr>
        <w:t xml:space="preserve"> A few companies have pointed out that, if non-delay-critical data is also included in the DSR, there may be some issues such as ambiguity of DSR cancellation. </w:t>
      </w:r>
    </w:p>
    <w:p w14:paraId="17879E94" w14:textId="54B2E82B" w:rsidR="006D2BB8" w:rsidRDefault="00FD32AF" w:rsidP="00181FA7">
      <w:pPr>
        <w:jc w:val="both"/>
        <w:rPr>
          <w:lang w:eastAsia="ko-KR"/>
        </w:rPr>
      </w:pPr>
      <w:r>
        <w:rPr>
          <w:lang w:val="en-US"/>
        </w:rPr>
        <w:t xml:space="preserve">To resolve this issue, we can first check how the DSR cancellation procedure </w:t>
      </w:r>
      <w:r w:rsidR="005001E2">
        <w:rPr>
          <w:lang w:val="en-US"/>
        </w:rPr>
        <w:t>works</w:t>
      </w:r>
      <w:r>
        <w:rPr>
          <w:lang w:val="en-US"/>
        </w:rPr>
        <w:t xml:space="preserve"> in Rel-18:</w:t>
      </w:r>
    </w:p>
    <w:tbl>
      <w:tblPr>
        <w:tblStyle w:val="TableGrid"/>
        <w:tblW w:w="0" w:type="auto"/>
        <w:tblLook w:val="04A0" w:firstRow="1" w:lastRow="0" w:firstColumn="1" w:lastColumn="0" w:noHBand="0" w:noVBand="1"/>
      </w:tblPr>
      <w:tblGrid>
        <w:gridCol w:w="9350"/>
      </w:tblGrid>
      <w:tr w:rsidR="00B47B33" w14:paraId="02C624B2" w14:textId="77777777" w:rsidTr="00B47B33">
        <w:tc>
          <w:tcPr>
            <w:tcW w:w="9350" w:type="dxa"/>
          </w:tcPr>
          <w:p w14:paraId="02C53809" w14:textId="273916BD" w:rsidR="00B47B33" w:rsidRPr="00B47B33" w:rsidRDefault="00B47B33" w:rsidP="00B47B33">
            <w:pPr>
              <w:rPr>
                <w:b/>
                <w:bCs/>
                <w:u w:val="single"/>
                <w:lang w:eastAsia="ko-KR"/>
              </w:rPr>
            </w:pPr>
            <w:r w:rsidRPr="00B47B33">
              <w:rPr>
                <w:b/>
                <w:bCs/>
                <w:u w:val="single"/>
                <w:lang w:eastAsia="ko-KR"/>
              </w:rPr>
              <w:t>TS 38.321 V18.2.0:</w:t>
            </w:r>
          </w:p>
          <w:p w14:paraId="2F850D7C" w14:textId="312F4B6E" w:rsidR="00B47B33" w:rsidRDefault="00B47B33" w:rsidP="00B47B33">
            <w:pPr>
              <w:rPr>
                <w:lang w:eastAsia="ko-KR"/>
              </w:rPr>
            </w:pPr>
            <w:r w:rsidRPr="00C3441D">
              <w:rPr>
                <w:highlight w:val="green"/>
                <w:lang w:eastAsia="ko-KR"/>
              </w:rPr>
              <w:t xml:space="preserve">A PDCP SDU </w:t>
            </w:r>
            <w:proofErr w:type="gramStart"/>
            <w:r w:rsidRPr="00C3441D">
              <w:rPr>
                <w:highlight w:val="green"/>
                <w:lang w:eastAsia="ko-KR"/>
              </w:rPr>
              <w:t>is considered to be</w:t>
            </w:r>
            <w:proofErr w:type="gramEnd"/>
            <w:r w:rsidRPr="00C3441D">
              <w:rPr>
                <w:highlight w:val="green"/>
                <w:lang w:eastAsia="ko-KR"/>
              </w:rPr>
              <w:t xml:space="preserve"> associated with a DSR if it </w:t>
            </w:r>
            <w:r w:rsidRPr="00B47B33">
              <w:rPr>
                <w:highlight w:val="yellow"/>
                <w:lang w:eastAsia="ko-KR"/>
              </w:rPr>
              <w:t xml:space="preserve">has not been transmitted in any MAC PDU and </w:t>
            </w:r>
            <w:r w:rsidRPr="00C3441D">
              <w:rPr>
                <w:highlight w:val="green"/>
                <w:lang w:eastAsia="ko-KR"/>
              </w:rPr>
              <w:t>is a</w:t>
            </w:r>
            <w:r w:rsidRPr="00B47B33">
              <w:rPr>
                <w:highlight w:val="yellow"/>
                <w:lang w:eastAsia="ko-KR"/>
              </w:rPr>
              <w:t xml:space="preserve"> </w:t>
            </w:r>
            <w:r w:rsidRPr="003173C8">
              <w:rPr>
                <w:highlight w:val="green"/>
                <w:lang w:eastAsia="ko-KR"/>
              </w:rPr>
              <w:t xml:space="preserve">delay-critical PDCP SDU </w:t>
            </w:r>
            <w:r w:rsidRPr="00B47B33">
              <w:rPr>
                <w:highlight w:val="yellow"/>
                <w:lang w:eastAsia="ko-KR"/>
              </w:rPr>
              <w:t>(as defined in TS</w:t>
            </w:r>
            <w:r w:rsidRPr="00B47B33">
              <w:rPr>
                <w:rFonts w:eastAsiaTheme="minorEastAsia"/>
                <w:highlight w:val="yellow"/>
              </w:rPr>
              <w:t xml:space="preserve"> </w:t>
            </w:r>
            <w:r w:rsidRPr="00B47B33">
              <w:rPr>
                <w:highlight w:val="yellow"/>
                <w:lang w:eastAsia="ko-KR"/>
              </w:rPr>
              <w:t>38.323</w:t>
            </w:r>
            <w:r w:rsidRPr="00B47B33">
              <w:rPr>
                <w:rFonts w:eastAsiaTheme="minorEastAsia"/>
                <w:highlight w:val="yellow"/>
              </w:rPr>
              <w:t xml:space="preserve"> [4]</w:t>
            </w:r>
            <w:r w:rsidRPr="00B47B33">
              <w:rPr>
                <w:highlight w:val="yellow"/>
                <w:lang w:eastAsia="ko-KR"/>
              </w:rPr>
              <w:t>) associated with the logical channel which triggered the DSR.</w:t>
            </w:r>
          </w:p>
          <w:p w14:paraId="522F8935" w14:textId="77777777" w:rsidR="00B47B33" w:rsidRPr="00D37AC6" w:rsidRDefault="00B47B33" w:rsidP="00B47B33">
            <w:pPr>
              <w:rPr>
                <w:lang w:eastAsia="ko-KR"/>
              </w:rPr>
            </w:pPr>
            <w:r w:rsidRPr="00D37AC6">
              <w:rPr>
                <w:lang w:eastAsia="ko-KR"/>
              </w:rPr>
              <w:t>A MAC PDU shall contain at most one DSR MAC CE. A MAC PDU shall not contain a DSR MAC CE if it includes all PDCP SDUs associated with all the pending DSRs.</w:t>
            </w:r>
          </w:p>
          <w:p w14:paraId="73B85C9F" w14:textId="1E63227E" w:rsidR="00B47B33" w:rsidRPr="00B47B33" w:rsidRDefault="00B47B33" w:rsidP="00B47B33">
            <w:pPr>
              <w:rPr>
                <w:lang w:eastAsia="ko-KR"/>
              </w:rPr>
            </w:pPr>
            <w:r w:rsidRPr="00D37AC6">
              <w:rPr>
                <w:lang w:eastAsia="ko-KR"/>
              </w:rPr>
              <w:t xml:space="preserve">After a DSR is triggered, it is considered as pending until it is cancelled. </w:t>
            </w:r>
            <w:r w:rsidRPr="00B47B33">
              <w:rPr>
                <w:highlight w:val="yellow"/>
                <w:lang w:eastAsia="ko-KR"/>
              </w:rPr>
              <w:t xml:space="preserve">The MAC entity shall cancel a pending DSR, when </w:t>
            </w:r>
            <w:r w:rsidRPr="003173C8">
              <w:rPr>
                <w:highlight w:val="green"/>
                <w:lang w:eastAsia="ko-KR"/>
              </w:rPr>
              <w:t xml:space="preserve">all the PDCP SDUs associated with the DSR </w:t>
            </w:r>
            <w:r w:rsidRPr="00B47B33">
              <w:rPr>
                <w:highlight w:val="yellow"/>
                <w:lang w:eastAsia="ko-KR"/>
              </w:rPr>
              <w:t xml:space="preserve">have been discarded, or when a MAC PDU is transmitted and this MAC PDU includes a DSR MAC CE that contains the delay information of </w:t>
            </w:r>
            <w:r w:rsidRPr="003173C8">
              <w:rPr>
                <w:highlight w:val="green"/>
                <w:lang w:eastAsia="ko-KR"/>
              </w:rPr>
              <w:t>all the PDCP SDUs associated with the DSR</w:t>
            </w:r>
            <w:r w:rsidRPr="00B47B33">
              <w:rPr>
                <w:highlight w:val="yellow"/>
                <w:lang w:eastAsia="ko-KR"/>
              </w:rPr>
              <w:t xml:space="preserve"> (as described in the clause 6.1.3.72), or when a MAC PDU is transmitted and this MAC PDU includes all the PDCP SDUs associated with the DSR.</w:t>
            </w:r>
          </w:p>
        </w:tc>
      </w:tr>
    </w:tbl>
    <w:p w14:paraId="00EC288F" w14:textId="77777777" w:rsidR="00B47B33" w:rsidRDefault="00B47B33" w:rsidP="00181FA7">
      <w:pPr>
        <w:jc w:val="both"/>
        <w:rPr>
          <w:lang w:val="en-US"/>
        </w:rPr>
      </w:pPr>
    </w:p>
    <w:p w14:paraId="60C7E0BB" w14:textId="09C0A670" w:rsidR="003173C8" w:rsidRDefault="003173C8" w:rsidP="00181FA7">
      <w:pPr>
        <w:jc w:val="both"/>
        <w:rPr>
          <w:lang w:val="en-US"/>
        </w:rPr>
      </w:pPr>
      <w:r>
        <w:rPr>
          <w:lang w:val="en-US"/>
        </w:rPr>
        <w:t xml:space="preserve">Based on the excerpt </w:t>
      </w:r>
      <w:r w:rsidR="00FD32AF">
        <w:rPr>
          <w:lang w:val="en-US"/>
        </w:rPr>
        <w:t xml:space="preserve">of TS 38.321 </w:t>
      </w:r>
      <w:r>
        <w:rPr>
          <w:lang w:val="en-US"/>
        </w:rPr>
        <w:t>above, we have noted two things:</w:t>
      </w:r>
    </w:p>
    <w:p w14:paraId="010CC44D" w14:textId="335D749A" w:rsidR="003173C8" w:rsidRDefault="003173C8" w:rsidP="003173C8">
      <w:pPr>
        <w:pStyle w:val="ListParagraph"/>
        <w:numPr>
          <w:ilvl w:val="0"/>
          <w:numId w:val="82"/>
        </w:numPr>
        <w:jc w:val="both"/>
        <w:rPr>
          <w:lang w:val="en-US"/>
        </w:rPr>
      </w:pPr>
      <w:r>
        <w:rPr>
          <w:lang w:val="en-US"/>
        </w:rPr>
        <w:t xml:space="preserve">A PDCP SDU is </w:t>
      </w:r>
      <w:r w:rsidR="00C3441D">
        <w:rPr>
          <w:lang w:val="en-US"/>
        </w:rPr>
        <w:t>said to be “</w:t>
      </w:r>
      <w:r>
        <w:rPr>
          <w:lang w:val="en-US"/>
        </w:rPr>
        <w:t>associated with a DSR</w:t>
      </w:r>
      <w:r w:rsidR="00C3441D">
        <w:rPr>
          <w:lang w:val="en-US"/>
        </w:rPr>
        <w:t>”</w:t>
      </w:r>
      <w:r>
        <w:rPr>
          <w:lang w:val="en-US"/>
        </w:rPr>
        <w:t xml:space="preserve"> only if it is a delay-critical PDCP SDU (i.e. only if its remaining time is smaller than the DSR triggering threshold)</w:t>
      </w:r>
    </w:p>
    <w:p w14:paraId="327DD5D7" w14:textId="1369CB7F" w:rsidR="003173C8" w:rsidRPr="003173C8" w:rsidRDefault="003173C8" w:rsidP="003173C8">
      <w:pPr>
        <w:pStyle w:val="ListParagraph"/>
        <w:numPr>
          <w:ilvl w:val="0"/>
          <w:numId w:val="82"/>
        </w:numPr>
        <w:jc w:val="both"/>
        <w:rPr>
          <w:lang w:val="en-US"/>
        </w:rPr>
      </w:pPr>
      <w:r>
        <w:rPr>
          <w:lang w:val="en-US"/>
        </w:rPr>
        <w:t xml:space="preserve">Cancellation of DSR is solely depending on if any “PDCP SDU associated with the DSR” (which </w:t>
      </w:r>
      <w:proofErr w:type="gramStart"/>
      <w:r>
        <w:rPr>
          <w:lang w:val="en-US"/>
        </w:rPr>
        <w:t>by definition has</w:t>
      </w:r>
      <w:proofErr w:type="gramEnd"/>
      <w:r>
        <w:rPr>
          <w:lang w:val="en-US"/>
        </w:rPr>
        <w:t xml:space="preserve"> to be delay-critical) is still in the buffer.</w:t>
      </w:r>
    </w:p>
    <w:p w14:paraId="7FAF80FF" w14:textId="58B20446" w:rsidR="00B47B33" w:rsidRDefault="00C3441D" w:rsidP="00181FA7">
      <w:pPr>
        <w:jc w:val="both"/>
        <w:rPr>
          <w:lang w:val="en-US"/>
        </w:rPr>
      </w:pPr>
      <w:r>
        <w:rPr>
          <w:lang w:val="en-US"/>
        </w:rPr>
        <w:t>Thus</w:t>
      </w:r>
      <w:r w:rsidR="00BE2DD1">
        <w:rPr>
          <w:lang w:val="en-US"/>
        </w:rPr>
        <w:t xml:space="preserve">, </w:t>
      </w:r>
      <w:r w:rsidR="003173C8">
        <w:rPr>
          <w:lang w:val="en-US"/>
        </w:rPr>
        <w:t xml:space="preserve">regardless of which reporting threshold is used as the triggering threshold, the procedure for DSR cancellation does not change. </w:t>
      </w:r>
      <w:r>
        <w:rPr>
          <w:lang w:val="en-US"/>
        </w:rPr>
        <w:t xml:space="preserve">Even if the triggering threshold is below the largest reporting threshold, the DSR is cancelled when </w:t>
      </w:r>
      <w:r>
        <w:rPr>
          <w:lang w:val="en-US"/>
        </w:rPr>
        <w:lastRenderedPageBreak/>
        <w:t xml:space="preserve">all PDCP SDUs with remaining time smaller than the triggering threshold are gone. Whether a non-delay-critical PDCP SDU is to be included in buffer size calculation for DSR or not, does not </w:t>
      </w:r>
      <w:r w:rsidR="001D30B9">
        <w:rPr>
          <w:lang w:val="en-US"/>
        </w:rPr>
        <w:t xml:space="preserve">really </w:t>
      </w:r>
      <w:r>
        <w:rPr>
          <w:lang w:val="en-US"/>
        </w:rPr>
        <w:t>matter.</w:t>
      </w:r>
    </w:p>
    <w:p w14:paraId="33212CC8" w14:textId="20BFD1A6" w:rsidR="00BE2DD1" w:rsidRDefault="00BE2DD1" w:rsidP="00181FA7">
      <w:pPr>
        <w:jc w:val="both"/>
        <w:rPr>
          <w:b/>
          <w:bCs/>
          <w:lang w:val="en-US"/>
        </w:rPr>
      </w:pPr>
      <w:r w:rsidRPr="00BE2DD1">
        <w:rPr>
          <w:b/>
          <w:bCs/>
          <w:lang w:val="en-US"/>
        </w:rPr>
        <w:t xml:space="preserve">Observation 1: </w:t>
      </w:r>
      <w:r>
        <w:rPr>
          <w:b/>
          <w:bCs/>
          <w:lang w:val="en-US"/>
        </w:rPr>
        <w:t xml:space="preserve">Whether a DSR should be triggered or cancelled depends on if there is any </w:t>
      </w:r>
      <w:r w:rsidR="005E433F">
        <w:rPr>
          <w:b/>
          <w:bCs/>
          <w:lang w:val="en-US"/>
        </w:rPr>
        <w:t xml:space="preserve">buffered </w:t>
      </w:r>
      <w:r>
        <w:rPr>
          <w:b/>
          <w:bCs/>
          <w:lang w:val="en-US"/>
        </w:rPr>
        <w:t>PDCP SDU with remaining time smaller than the DSR triggering threshold. It does not depend on the remaining time of PDCP SDU that is to be included for DSR buffer size calculation.</w:t>
      </w:r>
    </w:p>
    <w:p w14:paraId="43B17908" w14:textId="77777777" w:rsidR="00C71962" w:rsidRPr="00BE2DD1" w:rsidRDefault="00C71962" w:rsidP="00181FA7">
      <w:pPr>
        <w:jc w:val="both"/>
        <w:rPr>
          <w:b/>
          <w:bCs/>
          <w:lang w:val="en-US"/>
        </w:rPr>
      </w:pPr>
    </w:p>
    <w:p w14:paraId="03A698DB" w14:textId="12DC7991" w:rsidR="00126A14" w:rsidRDefault="00126A14" w:rsidP="00181FA7">
      <w:pPr>
        <w:jc w:val="both"/>
        <w:rPr>
          <w:lang w:val="en-US"/>
        </w:rPr>
      </w:pPr>
      <w:r>
        <w:rPr>
          <w:lang w:val="en-US"/>
        </w:rPr>
        <w:t>With this in mind, we do not see how DSR cancellation procedure will be impacted, if Rel-19 DSR allows the UE to report volume of data with remaining time that is larger than the DSR triggering threshold</w:t>
      </w:r>
      <w:r w:rsidR="00BE2DD1">
        <w:rPr>
          <w:lang w:val="en-US"/>
        </w:rPr>
        <w:t xml:space="preserve">. </w:t>
      </w:r>
      <w:r w:rsidR="00A644E0">
        <w:rPr>
          <w:lang w:val="en-US"/>
        </w:rPr>
        <w:t>Based on such observation</w:t>
      </w:r>
      <w:r w:rsidR="00BE2DD1">
        <w:rPr>
          <w:lang w:val="en-US"/>
        </w:rPr>
        <w:t xml:space="preserve">, we believe the network can flexibly configure one of the reporting thresholds as the triggering threshold, </w:t>
      </w:r>
      <w:r w:rsidR="00A65DE5">
        <w:rPr>
          <w:lang w:val="en-US"/>
        </w:rPr>
        <w:t xml:space="preserve">and </w:t>
      </w:r>
      <w:r w:rsidR="00BE2DD1">
        <w:rPr>
          <w:lang w:val="en-US"/>
        </w:rPr>
        <w:t>there is no need to impose any constraint about the threshold configuration.</w:t>
      </w:r>
    </w:p>
    <w:p w14:paraId="48976BD1" w14:textId="5CFE23B4" w:rsidR="006D2BB8" w:rsidRDefault="006D2BB8" w:rsidP="006D2BB8">
      <w:pPr>
        <w:jc w:val="both"/>
        <w:rPr>
          <w:b/>
          <w:bCs/>
          <w:color w:val="000000" w:themeColor="text1"/>
          <w:lang w:val="en-US"/>
        </w:rPr>
      </w:pPr>
      <w:r>
        <w:rPr>
          <w:b/>
          <w:bCs/>
          <w:color w:val="000000" w:themeColor="text1"/>
          <w:lang w:val="en-US"/>
        </w:rPr>
        <w:t xml:space="preserve">Proposal </w:t>
      </w:r>
      <w:r w:rsidR="00BE2DD1">
        <w:rPr>
          <w:b/>
          <w:bCs/>
          <w:color w:val="000000" w:themeColor="text1"/>
          <w:lang w:val="en-US"/>
        </w:rPr>
        <w:t>1</w:t>
      </w:r>
      <w:r w:rsidRPr="004B12F8">
        <w:rPr>
          <w:b/>
          <w:bCs/>
          <w:color w:val="000000" w:themeColor="text1"/>
          <w:lang w:val="en-US"/>
        </w:rPr>
        <w:t xml:space="preserve">: </w:t>
      </w:r>
      <w:r w:rsidR="00BE2DD1">
        <w:rPr>
          <w:b/>
          <w:bCs/>
          <w:color w:val="000000" w:themeColor="text1"/>
          <w:lang w:val="en-US"/>
        </w:rPr>
        <w:t xml:space="preserve">The network can </w:t>
      </w:r>
      <w:r w:rsidR="00C3441D">
        <w:rPr>
          <w:b/>
          <w:bCs/>
          <w:color w:val="000000" w:themeColor="text1"/>
          <w:lang w:val="en-US"/>
        </w:rPr>
        <w:t>select</w:t>
      </w:r>
      <w:r w:rsidR="00BE2DD1">
        <w:rPr>
          <w:b/>
          <w:bCs/>
          <w:color w:val="000000" w:themeColor="text1"/>
          <w:lang w:val="en-US"/>
        </w:rPr>
        <w:t xml:space="preserve"> any of the multiple reporting thresholds </w:t>
      </w:r>
      <w:r w:rsidR="00C3441D">
        <w:rPr>
          <w:b/>
          <w:bCs/>
          <w:color w:val="000000" w:themeColor="text1"/>
          <w:lang w:val="en-US"/>
        </w:rPr>
        <w:t xml:space="preserve">configured </w:t>
      </w:r>
      <w:r w:rsidR="00BE2DD1">
        <w:rPr>
          <w:b/>
          <w:bCs/>
          <w:color w:val="000000" w:themeColor="text1"/>
          <w:lang w:val="en-US"/>
        </w:rPr>
        <w:t>for an LCG as the DSR triggering threshold.</w:t>
      </w:r>
    </w:p>
    <w:p w14:paraId="2FECB6BF" w14:textId="77777777" w:rsidR="006D2BB8" w:rsidRDefault="006D2BB8" w:rsidP="00181FA7">
      <w:pPr>
        <w:jc w:val="both"/>
        <w:rPr>
          <w:lang w:val="en-US"/>
        </w:rPr>
      </w:pPr>
    </w:p>
    <w:p w14:paraId="11C8AE39" w14:textId="26547E3C" w:rsidR="00147749" w:rsidRPr="00242348" w:rsidRDefault="00147749" w:rsidP="00147749">
      <w:pPr>
        <w:pStyle w:val="Heading2"/>
        <w:jc w:val="both"/>
        <w:rPr>
          <w:lang w:val="en-US"/>
        </w:rPr>
      </w:pPr>
      <w:r>
        <w:rPr>
          <w:lang w:val="en-US"/>
        </w:rPr>
        <w:t>Non-Delay-Critical Data Before Delay-Critical Data</w:t>
      </w:r>
    </w:p>
    <w:p w14:paraId="1B8E5AED" w14:textId="77777777" w:rsidR="00147749" w:rsidRDefault="00147749" w:rsidP="00181FA7">
      <w:pPr>
        <w:jc w:val="both"/>
        <w:rPr>
          <w:lang w:val="en-US"/>
        </w:rPr>
      </w:pPr>
      <w:r>
        <w:rPr>
          <w:lang w:val="en-US"/>
        </w:rPr>
        <w:t xml:space="preserve">In the previous meetings, the issue relating to non-delay-critical data queued before delay-critical data has been raised. The concern is, if the </w:t>
      </w:r>
      <w:proofErr w:type="spellStart"/>
      <w:r>
        <w:rPr>
          <w:lang w:val="en-US"/>
        </w:rPr>
        <w:t>gNB</w:t>
      </w:r>
      <w:proofErr w:type="spellEnd"/>
      <w:r>
        <w:rPr>
          <w:lang w:val="en-US"/>
        </w:rPr>
        <w:t xml:space="preserve"> allocates UL-SCH resource based on DSR, the UE may first allocate non-delay-critical data that is in the front of the queue, before allocating delay-critical data that is targeted by the UL-SCH resource. As a result, the delay-critical data still cannot be transmitted on time. </w:t>
      </w:r>
      <w:proofErr w:type="gramStart"/>
      <w:r>
        <w:rPr>
          <w:lang w:val="en-US"/>
        </w:rPr>
        <w:t>In light of</w:t>
      </w:r>
      <w:proofErr w:type="gramEnd"/>
      <w:r>
        <w:rPr>
          <w:lang w:val="en-US"/>
        </w:rPr>
        <w:t xml:space="preserve"> such potential issue, there are some proposals about including non-delay-critical data ahead of delay-critical data in buffer size calculation, to ensure that the </w:t>
      </w:r>
      <w:proofErr w:type="spellStart"/>
      <w:r>
        <w:rPr>
          <w:lang w:val="en-US"/>
        </w:rPr>
        <w:t>gNB</w:t>
      </w:r>
      <w:proofErr w:type="spellEnd"/>
      <w:r>
        <w:rPr>
          <w:lang w:val="en-US"/>
        </w:rPr>
        <w:t xml:space="preserve"> can allocate sufficient resource. </w:t>
      </w:r>
    </w:p>
    <w:p w14:paraId="466E553C" w14:textId="36D027B8" w:rsidR="00147749" w:rsidRDefault="00147749" w:rsidP="00181FA7">
      <w:pPr>
        <w:jc w:val="both"/>
        <w:rPr>
          <w:color w:val="000000" w:themeColor="text1"/>
          <w:lang w:val="en-US"/>
        </w:rPr>
      </w:pPr>
      <w:r>
        <w:rPr>
          <w:lang w:val="en-US"/>
        </w:rPr>
        <w:t xml:space="preserve">In general, </w:t>
      </w:r>
      <w:r>
        <w:rPr>
          <w:color w:val="000000" w:themeColor="text1"/>
          <w:lang w:val="en-US"/>
        </w:rPr>
        <w:t>w</w:t>
      </w:r>
      <w:r>
        <w:rPr>
          <w:color w:val="000000" w:themeColor="text1"/>
          <w:lang w:val="en-US"/>
        </w:rPr>
        <w:t xml:space="preserve">e think this is a corner case, as typically the queue is based on a first-in first-out model, so the packets that are queued in front are naturally more urgent. Furthermore, in most scenarios we believe we can rely on UE implementation to resolve this issue (e.g. sorting the packets in the queue based on their level of urgency). </w:t>
      </w:r>
      <w:r w:rsidR="000B798F">
        <w:rPr>
          <w:color w:val="000000" w:themeColor="text1"/>
          <w:lang w:val="en-US"/>
        </w:rPr>
        <w:t>Hence</w:t>
      </w:r>
      <w:r>
        <w:rPr>
          <w:color w:val="000000" w:themeColor="text1"/>
          <w:lang w:val="en-US"/>
        </w:rPr>
        <w:t xml:space="preserve">, we do not </w:t>
      </w:r>
      <w:r w:rsidR="000B798F">
        <w:rPr>
          <w:color w:val="000000" w:themeColor="text1"/>
          <w:lang w:val="en-US"/>
        </w:rPr>
        <w:t>think such corner case can justify the</w:t>
      </w:r>
      <w:r>
        <w:rPr>
          <w:color w:val="000000" w:themeColor="text1"/>
          <w:lang w:val="en-US"/>
        </w:rPr>
        <w:t xml:space="preserve"> change </w:t>
      </w:r>
      <w:r w:rsidR="000B798F">
        <w:rPr>
          <w:color w:val="000000" w:themeColor="text1"/>
          <w:lang w:val="en-US"/>
        </w:rPr>
        <w:t xml:space="preserve">in the </w:t>
      </w:r>
      <w:r>
        <w:rPr>
          <w:color w:val="000000" w:themeColor="text1"/>
          <w:lang w:val="en-US"/>
        </w:rPr>
        <w:t xml:space="preserve">data volume calculation </w:t>
      </w:r>
      <w:r w:rsidR="000B798F">
        <w:rPr>
          <w:color w:val="000000" w:themeColor="text1"/>
          <w:lang w:val="en-US"/>
        </w:rPr>
        <w:t>procedures</w:t>
      </w:r>
      <w:r>
        <w:rPr>
          <w:color w:val="000000" w:themeColor="text1"/>
          <w:lang w:val="en-US"/>
        </w:rPr>
        <w:t>.</w:t>
      </w:r>
    </w:p>
    <w:p w14:paraId="574C3C8C" w14:textId="4EEE4AAB" w:rsidR="00BB5CE3" w:rsidRDefault="00BB5CE3" w:rsidP="00BB5CE3">
      <w:pPr>
        <w:jc w:val="both"/>
        <w:rPr>
          <w:b/>
          <w:bCs/>
          <w:color w:val="000000" w:themeColor="text1"/>
          <w:lang w:val="en-US"/>
        </w:rPr>
      </w:pPr>
      <w:r>
        <w:rPr>
          <w:b/>
          <w:bCs/>
          <w:color w:val="000000" w:themeColor="text1"/>
          <w:lang w:val="en-US"/>
        </w:rPr>
        <w:t xml:space="preserve">Proposal </w:t>
      </w:r>
      <w:r>
        <w:rPr>
          <w:b/>
          <w:bCs/>
          <w:color w:val="000000" w:themeColor="text1"/>
          <w:lang w:val="en-US"/>
        </w:rPr>
        <w:t>2</w:t>
      </w:r>
      <w:r w:rsidRPr="004B12F8">
        <w:rPr>
          <w:b/>
          <w:bCs/>
          <w:color w:val="000000" w:themeColor="text1"/>
          <w:lang w:val="en-US"/>
        </w:rPr>
        <w:t xml:space="preserve">: </w:t>
      </w:r>
      <w:r>
        <w:rPr>
          <w:b/>
          <w:bCs/>
          <w:color w:val="000000" w:themeColor="text1"/>
          <w:lang w:val="en-US"/>
        </w:rPr>
        <w:t xml:space="preserve">There is no need to include non-delay critical data ahead of delay-critical data in the buffer size calculation for DSR. </w:t>
      </w:r>
    </w:p>
    <w:p w14:paraId="093D6D95" w14:textId="77777777" w:rsidR="00147749" w:rsidRDefault="00147749" w:rsidP="00181FA7">
      <w:pPr>
        <w:jc w:val="both"/>
        <w:rPr>
          <w:lang w:val="en-US"/>
        </w:rPr>
      </w:pPr>
    </w:p>
    <w:p w14:paraId="239B9568" w14:textId="16DA1682" w:rsidR="006D2BB8" w:rsidRPr="00242348" w:rsidRDefault="009062A7" w:rsidP="004A2E77">
      <w:pPr>
        <w:pStyle w:val="Heading2"/>
        <w:jc w:val="both"/>
        <w:rPr>
          <w:lang w:val="en-US"/>
        </w:rPr>
      </w:pPr>
      <w:r>
        <w:rPr>
          <w:lang w:val="en-US"/>
        </w:rPr>
        <w:t xml:space="preserve">DSR </w:t>
      </w:r>
      <w:r w:rsidR="00E22F55">
        <w:rPr>
          <w:lang w:val="en-US"/>
        </w:rPr>
        <w:t xml:space="preserve">MAC CE </w:t>
      </w:r>
      <w:r>
        <w:rPr>
          <w:lang w:val="en-US"/>
        </w:rPr>
        <w:t>Format Selection</w:t>
      </w:r>
    </w:p>
    <w:p w14:paraId="755939B1" w14:textId="335EF8EF" w:rsidR="00E149AF" w:rsidRDefault="005E433F" w:rsidP="00F52606">
      <w:pPr>
        <w:jc w:val="both"/>
        <w:rPr>
          <w:lang w:val="en-US"/>
        </w:rPr>
      </w:pPr>
      <w:r>
        <w:rPr>
          <w:lang w:val="en-US"/>
        </w:rPr>
        <w:t xml:space="preserve">Another issue that has been discussed during RAN2 #127bis is, whether the UE </w:t>
      </w:r>
      <w:r w:rsidR="0015789E">
        <w:rPr>
          <w:lang w:val="en-US"/>
        </w:rPr>
        <w:t xml:space="preserve">should </w:t>
      </w:r>
      <w:r>
        <w:rPr>
          <w:lang w:val="en-US"/>
        </w:rPr>
        <w:t xml:space="preserve">fallback </w:t>
      </w:r>
      <w:r w:rsidR="0015789E">
        <w:rPr>
          <w:lang w:val="en-US"/>
        </w:rPr>
        <w:t>and select</w:t>
      </w:r>
      <w:r>
        <w:rPr>
          <w:lang w:val="en-US"/>
        </w:rPr>
        <w:t xml:space="preserve"> Rel-18 DSR MAC CE</w:t>
      </w:r>
      <w:r w:rsidR="0015789E">
        <w:rPr>
          <w:lang w:val="en-US"/>
        </w:rPr>
        <w:t xml:space="preserve"> format</w:t>
      </w:r>
      <w:r>
        <w:rPr>
          <w:lang w:val="en-US"/>
        </w:rPr>
        <w:t xml:space="preserve">, when </w:t>
      </w:r>
      <w:r w:rsidR="0015789E">
        <w:rPr>
          <w:lang w:val="en-US"/>
        </w:rPr>
        <w:t xml:space="preserve">all the pending DSRs are triggered by </w:t>
      </w:r>
      <w:r w:rsidR="00C3441D">
        <w:rPr>
          <w:lang w:val="en-US"/>
        </w:rPr>
        <w:t xml:space="preserve">LCHs of </w:t>
      </w:r>
      <w:r w:rsidR="0015789E">
        <w:rPr>
          <w:lang w:val="en-US"/>
        </w:rPr>
        <w:t>LCGs configured with only one remaining time threshold</w:t>
      </w:r>
      <w:r>
        <w:rPr>
          <w:lang w:val="en-US"/>
        </w:rPr>
        <w:t>.</w:t>
      </w:r>
      <w:r w:rsidR="0015789E">
        <w:rPr>
          <w:lang w:val="en-US"/>
        </w:rPr>
        <w:t xml:space="preserve"> In our views, if the resultant signaling overheads for both Rel-18 and Rel-19 DSR MAC CEs are the same, there is no need to mandate the UE behaviors in terms of DSR MAC CE format selection.</w:t>
      </w:r>
      <w:r w:rsidR="00623DBE">
        <w:rPr>
          <w:lang w:val="en-US"/>
        </w:rPr>
        <w:t xml:space="preserve"> Depending on the UE implementation, there may be different levels of complexity between the procedures to generate these MAC CE formats. Hence, we think the UE should have such flexibility to choose the MAC CE format</w:t>
      </w:r>
      <w:r w:rsidR="00C3441D">
        <w:rPr>
          <w:lang w:val="en-US"/>
        </w:rPr>
        <w:t>, so the specification should allow the UE to select either Rel-18 or Rel-19 DSR format in such cases</w:t>
      </w:r>
      <w:r w:rsidR="00623DBE">
        <w:rPr>
          <w:lang w:val="en-US"/>
        </w:rPr>
        <w:t>.</w:t>
      </w:r>
    </w:p>
    <w:p w14:paraId="341E9572" w14:textId="1FFD231B" w:rsidR="00E22F55" w:rsidRDefault="00A65DE5" w:rsidP="00F52606">
      <w:pPr>
        <w:jc w:val="both"/>
        <w:rPr>
          <w:lang w:val="en-US"/>
        </w:rPr>
      </w:pPr>
      <w:r>
        <w:rPr>
          <w:lang w:val="en-US"/>
        </w:rPr>
        <w:t>Nonetheless</w:t>
      </w:r>
      <w:r w:rsidR="00623DBE">
        <w:rPr>
          <w:lang w:val="en-US"/>
        </w:rPr>
        <w:t xml:space="preserve">, if companies prefer to </w:t>
      </w:r>
      <w:r w:rsidR="00E22F55">
        <w:rPr>
          <w:lang w:val="en-US"/>
        </w:rPr>
        <w:t>mandate a DSR MAC CE format for such cases, we think Rel-18 DSR MAC CE should be the baseline</w:t>
      </w:r>
      <w:r w:rsidR="00F76A9B">
        <w:rPr>
          <w:lang w:val="en-US"/>
        </w:rPr>
        <w:t xml:space="preserve"> that the UE should select</w:t>
      </w:r>
      <w:r w:rsidR="00E22F55">
        <w:rPr>
          <w:lang w:val="en-US"/>
        </w:rPr>
        <w:t>. Potentially, the computational resources required by the UE to derive Rel-18 DSR MAC CE format is lower than its counterpart for Rel-19.</w:t>
      </w:r>
    </w:p>
    <w:p w14:paraId="60A56875" w14:textId="4D0099D4" w:rsidR="005656FA" w:rsidRDefault="005656FA" w:rsidP="005656FA">
      <w:pPr>
        <w:jc w:val="both"/>
        <w:rPr>
          <w:b/>
          <w:bCs/>
          <w:color w:val="000000" w:themeColor="text1"/>
          <w:lang w:val="en-US"/>
        </w:rPr>
      </w:pPr>
      <w:r>
        <w:rPr>
          <w:b/>
          <w:bCs/>
          <w:color w:val="000000" w:themeColor="text1"/>
          <w:lang w:val="en-US"/>
        </w:rPr>
        <w:t xml:space="preserve">Proposal </w:t>
      </w:r>
      <w:r w:rsidR="00BB5CE3">
        <w:rPr>
          <w:b/>
          <w:bCs/>
          <w:color w:val="000000" w:themeColor="text1"/>
          <w:lang w:val="en-US"/>
        </w:rPr>
        <w:t>3</w:t>
      </w:r>
      <w:r w:rsidRPr="004B12F8">
        <w:rPr>
          <w:b/>
          <w:bCs/>
          <w:color w:val="000000" w:themeColor="text1"/>
          <w:lang w:val="en-US"/>
        </w:rPr>
        <w:t xml:space="preserve">: </w:t>
      </w:r>
      <w:r>
        <w:rPr>
          <w:b/>
          <w:bCs/>
          <w:color w:val="000000" w:themeColor="text1"/>
          <w:lang w:val="en-US"/>
        </w:rPr>
        <w:t xml:space="preserve">If all pending DSRs are triggered by the LCGs configured with only one remaining time threshold, </w:t>
      </w:r>
      <w:r w:rsidR="005D37FB">
        <w:rPr>
          <w:b/>
          <w:bCs/>
          <w:color w:val="000000" w:themeColor="text1"/>
          <w:lang w:val="en-US"/>
        </w:rPr>
        <w:t xml:space="preserve">the specification should allow </w:t>
      </w:r>
      <w:r>
        <w:rPr>
          <w:b/>
          <w:bCs/>
          <w:color w:val="000000" w:themeColor="text1"/>
          <w:lang w:val="en-US"/>
        </w:rPr>
        <w:t xml:space="preserve">the UE </w:t>
      </w:r>
      <w:r w:rsidR="00D3623D">
        <w:rPr>
          <w:b/>
          <w:bCs/>
          <w:color w:val="000000" w:themeColor="text1"/>
          <w:lang w:val="en-US"/>
        </w:rPr>
        <w:t xml:space="preserve">to </w:t>
      </w:r>
      <w:r>
        <w:rPr>
          <w:b/>
          <w:bCs/>
          <w:color w:val="000000" w:themeColor="text1"/>
          <w:lang w:val="en-US"/>
        </w:rPr>
        <w:t>select either Rel-18 DSR MAC CE or Rel-19 DSR MAC CE if they have the same signaling overheads. There is no need to mandate the UE behaviors for DSR MAC CE format selection in such cases.</w:t>
      </w:r>
    </w:p>
    <w:p w14:paraId="6E95CAE2" w14:textId="77777777" w:rsidR="008A104D" w:rsidRDefault="008A104D" w:rsidP="00F52606">
      <w:pPr>
        <w:jc w:val="both"/>
        <w:rPr>
          <w:b/>
          <w:bCs/>
          <w:color w:val="000000" w:themeColor="text1"/>
          <w:lang w:val="en-US"/>
        </w:rPr>
      </w:pPr>
    </w:p>
    <w:p w14:paraId="56E14D3E" w14:textId="10CB0B8B" w:rsidR="008A104D" w:rsidRPr="00242348" w:rsidRDefault="009062A7" w:rsidP="008A104D">
      <w:pPr>
        <w:pStyle w:val="Heading2"/>
        <w:jc w:val="both"/>
        <w:rPr>
          <w:lang w:val="en-US"/>
        </w:rPr>
      </w:pPr>
      <w:r>
        <w:rPr>
          <w:lang w:val="en-US"/>
        </w:rPr>
        <w:lastRenderedPageBreak/>
        <w:t>PDU Set Considerations for Data Volume Calculations</w:t>
      </w:r>
    </w:p>
    <w:p w14:paraId="74BBD042" w14:textId="01D4EE82" w:rsidR="00D651E8" w:rsidRDefault="00E22F55" w:rsidP="009062A7">
      <w:pPr>
        <w:jc w:val="both"/>
        <w:rPr>
          <w:color w:val="000000" w:themeColor="text1"/>
          <w:lang w:val="en-US"/>
        </w:rPr>
      </w:pPr>
      <w:r>
        <w:rPr>
          <w:color w:val="000000" w:themeColor="text1"/>
          <w:lang w:val="en-US"/>
        </w:rPr>
        <w:t xml:space="preserve">In Rel-18 DSR, if </w:t>
      </w:r>
      <w:proofErr w:type="spellStart"/>
      <w:r w:rsidRPr="00E22F55">
        <w:rPr>
          <w:i/>
          <w:iCs/>
          <w:color w:val="000000" w:themeColor="text1"/>
          <w:lang w:val="en-US"/>
        </w:rPr>
        <w:t>pdu-SetDiscard</w:t>
      </w:r>
      <w:proofErr w:type="spellEnd"/>
      <w:r>
        <w:rPr>
          <w:color w:val="000000" w:themeColor="text1"/>
          <w:lang w:val="en-US"/>
        </w:rPr>
        <w:t xml:space="preserve"> is configured, any PDCP SDU that belongs to the same PDU Set should </w:t>
      </w:r>
      <w:r w:rsidR="00312C4E">
        <w:rPr>
          <w:color w:val="000000" w:themeColor="text1"/>
          <w:lang w:val="en-US"/>
        </w:rPr>
        <w:t xml:space="preserve">also be considered as delay-critical. Furthermore, it should also </w:t>
      </w:r>
      <w:r>
        <w:rPr>
          <w:color w:val="000000" w:themeColor="text1"/>
          <w:lang w:val="en-US"/>
        </w:rPr>
        <w:t xml:space="preserve">be included in the delay-critical data volume for reporting, even </w:t>
      </w:r>
      <w:r w:rsidR="00312C4E">
        <w:rPr>
          <w:color w:val="000000" w:themeColor="text1"/>
          <w:lang w:val="en-US"/>
        </w:rPr>
        <w:t xml:space="preserve">though </w:t>
      </w:r>
      <w:r>
        <w:rPr>
          <w:color w:val="000000" w:themeColor="text1"/>
          <w:lang w:val="en-US"/>
        </w:rPr>
        <w:t xml:space="preserve">the remaining time for some of these PDCP SDUs </w:t>
      </w:r>
      <w:r w:rsidR="00312C4E">
        <w:rPr>
          <w:color w:val="000000" w:themeColor="text1"/>
          <w:lang w:val="en-US"/>
        </w:rPr>
        <w:t xml:space="preserve">may </w:t>
      </w:r>
      <w:r>
        <w:rPr>
          <w:color w:val="000000" w:themeColor="text1"/>
          <w:lang w:val="en-US"/>
        </w:rPr>
        <w:t>still larger than the threshold. This is described in the definition of Delay-Critical PDCP SDUs in TS 38.323:</w:t>
      </w:r>
    </w:p>
    <w:tbl>
      <w:tblPr>
        <w:tblStyle w:val="TableGrid"/>
        <w:tblW w:w="0" w:type="auto"/>
        <w:tblLook w:val="04A0" w:firstRow="1" w:lastRow="0" w:firstColumn="1" w:lastColumn="0" w:noHBand="0" w:noVBand="1"/>
      </w:tblPr>
      <w:tblGrid>
        <w:gridCol w:w="9350"/>
      </w:tblGrid>
      <w:tr w:rsidR="00E22F55" w14:paraId="726B4BDF" w14:textId="77777777" w:rsidTr="00E22F55">
        <w:tc>
          <w:tcPr>
            <w:tcW w:w="9350" w:type="dxa"/>
          </w:tcPr>
          <w:p w14:paraId="2CFFF51E" w14:textId="3D67E31B" w:rsidR="00E22F55" w:rsidRPr="00312C4E" w:rsidRDefault="00312C4E" w:rsidP="00312C4E">
            <w:r w:rsidRPr="00D03DBD">
              <w:rPr>
                <w:b/>
                <w:lang w:eastAsia="ko-KR"/>
              </w:rPr>
              <w:t>Delay-critical PDCP SDU</w:t>
            </w:r>
            <w:r w:rsidRPr="00D03DBD">
              <w:rPr>
                <w:lang w:eastAsia="ko-KR"/>
              </w:rPr>
              <w:t xml:space="preserve">: if </w:t>
            </w:r>
            <w:proofErr w:type="spellStart"/>
            <w:r w:rsidRPr="00D03DBD">
              <w:rPr>
                <w:rFonts w:eastAsia="Malgun Gothic"/>
                <w:i/>
                <w:lang w:eastAsia="ko-KR"/>
              </w:rPr>
              <w:t>pdu-SetDiscard</w:t>
            </w:r>
            <w:proofErr w:type="spellEnd"/>
            <w:r w:rsidRPr="00D03DBD">
              <w:rPr>
                <w:rFonts w:eastAsia="Malgun Gothic"/>
                <w:lang w:eastAsia="ko-KR"/>
              </w:rPr>
              <w:t xml:space="preserve"> is not configured, </w:t>
            </w:r>
            <w:r w:rsidRPr="00D03DBD">
              <w:t xml:space="preserve">a PDCP SDU for which the remaining time till </w:t>
            </w:r>
            <w:proofErr w:type="spellStart"/>
            <w:r w:rsidRPr="00D03DBD">
              <w:rPr>
                <w:i/>
              </w:rPr>
              <w:t>discardTimer</w:t>
            </w:r>
            <w:proofErr w:type="spellEnd"/>
            <w:r w:rsidRPr="00D03DBD">
              <w:t xml:space="preserve"> expiry is less than the </w:t>
            </w:r>
            <w:proofErr w:type="spellStart"/>
            <w:r w:rsidRPr="00D03DBD">
              <w:rPr>
                <w:i/>
              </w:rPr>
              <w:t>remainingTimeThreshold</w:t>
            </w:r>
            <w:proofErr w:type="spellEnd"/>
            <w:r w:rsidRPr="00D03DBD">
              <w:t xml:space="preserve">. </w:t>
            </w:r>
            <w:r w:rsidRPr="00312C4E">
              <w:rPr>
                <w:highlight w:val="green"/>
              </w:rPr>
              <w:t>I</w:t>
            </w:r>
            <w:r w:rsidRPr="00312C4E">
              <w:rPr>
                <w:rFonts w:eastAsia="Malgun Gothic"/>
                <w:highlight w:val="green"/>
                <w:lang w:eastAsia="ko-KR"/>
              </w:rPr>
              <w:t>f</w:t>
            </w:r>
            <w:r w:rsidRPr="00312C4E">
              <w:rPr>
                <w:rFonts w:eastAsia="Malgun Gothic"/>
                <w:i/>
                <w:highlight w:val="green"/>
                <w:lang w:eastAsia="ko-KR"/>
              </w:rPr>
              <w:t xml:space="preserve"> </w:t>
            </w:r>
            <w:proofErr w:type="spellStart"/>
            <w:r w:rsidRPr="00312C4E">
              <w:rPr>
                <w:rFonts w:eastAsia="Malgun Gothic"/>
                <w:i/>
                <w:highlight w:val="green"/>
                <w:lang w:eastAsia="ko-KR"/>
              </w:rPr>
              <w:t>pdu-SetDiscard</w:t>
            </w:r>
            <w:proofErr w:type="spellEnd"/>
            <w:r w:rsidRPr="00312C4E">
              <w:rPr>
                <w:rFonts w:eastAsia="Malgun Gothic"/>
                <w:highlight w:val="green"/>
                <w:lang w:eastAsia="ko-KR"/>
              </w:rPr>
              <w:t xml:space="preserve"> is configured, a PDCP SDU belonging to a PDU Set of which at least one</w:t>
            </w:r>
            <w:r w:rsidRPr="00312C4E">
              <w:rPr>
                <w:highlight w:val="green"/>
              </w:rPr>
              <w:t xml:space="preserve"> PDCP SDU has the remaining time till </w:t>
            </w:r>
            <w:proofErr w:type="spellStart"/>
            <w:r w:rsidRPr="00312C4E">
              <w:rPr>
                <w:i/>
                <w:highlight w:val="green"/>
              </w:rPr>
              <w:t>discardTimer</w:t>
            </w:r>
            <w:proofErr w:type="spellEnd"/>
            <w:r w:rsidRPr="00312C4E">
              <w:rPr>
                <w:highlight w:val="green"/>
              </w:rPr>
              <w:t xml:space="preserve"> expiry less than the </w:t>
            </w:r>
            <w:proofErr w:type="spellStart"/>
            <w:r w:rsidRPr="00312C4E">
              <w:rPr>
                <w:i/>
                <w:highlight w:val="green"/>
              </w:rPr>
              <w:t>remainingTimeThreshold</w:t>
            </w:r>
            <w:proofErr w:type="spellEnd"/>
            <w:r w:rsidRPr="00312C4E">
              <w:rPr>
                <w:highlight w:val="green"/>
              </w:rPr>
              <w:t>.</w:t>
            </w:r>
          </w:p>
        </w:tc>
      </w:tr>
    </w:tbl>
    <w:p w14:paraId="243ED973" w14:textId="77777777" w:rsidR="00E22F55" w:rsidRDefault="00E22F55" w:rsidP="009062A7">
      <w:pPr>
        <w:jc w:val="both"/>
        <w:rPr>
          <w:b/>
          <w:bCs/>
          <w:color w:val="000000" w:themeColor="text1"/>
          <w:lang w:val="en-US"/>
        </w:rPr>
      </w:pPr>
    </w:p>
    <w:p w14:paraId="72B99D40" w14:textId="5EF3AB98" w:rsidR="00312C4E" w:rsidRDefault="00625CF7" w:rsidP="009062A7">
      <w:pPr>
        <w:jc w:val="both"/>
        <w:rPr>
          <w:color w:val="000000" w:themeColor="text1"/>
          <w:lang w:val="en-US"/>
        </w:rPr>
      </w:pPr>
      <w:r>
        <w:rPr>
          <w:color w:val="000000" w:themeColor="text1"/>
          <w:lang w:val="en-US"/>
        </w:rPr>
        <w:t>S</w:t>
      </w:r>
      <w:r w:rsidR="00312C4E">
        <w:rPr>
          <w:color w:val="000000" w:themeColor="text1"/>
          <w:lang w:val="en-US"/>
        </w:rPr>
        <w:t xml:space="preserve">ince </w:t>
      </w:r>
      <w:r>
        <w:rPr>
          <w:color w:val="000000" w:themeColor="text1"/>
          <w:lang w:val="en-US"/>
        </w:rPr>
        <w:t xml:space="preserve">the buffer </w:t>
      </w:r>
      <w:r w:rsidR="00D3623D">
        <w:rPr>
          <w:color w:val="000000" w:themeColor="text1"/>
          <w:lang w:val="en-US"/>
        </w:rPr>
        <w:t xml:space="preserve">of a LCG </w:t>
      </w:r>
      <w:r>
        <w:rPr>
          <w:color w:val="000000" w:themeColor="text1"/>
          <w:lang w:val="en-US"/>
        </w:rPr>
        <w:t xml:space="preserve">is divided into multiple portions based on the </w:t>
      </w:r>
      <w:r w:rsidR="00D3623D">
        <w:rPr>
          <w:color w:val="000000" w:themeColor="text1"/>
          <w:lang w:val="en-US"/>
        </w:rPr>
        <w:t>multiple</w:t>
      </w:r>
      <w:r>
        <w:rPr>
          <w:color w:val="000000" w:themeColor="text1"/>
          <w:lang w:val="en-US"/>
        </w:rPr>
        <w:t xml:space="preserve"> remaining time thresholds in Rel-19, RAN2 needs to discuss how the </w:t>
      </w:r>
      <w:r>
        <w:rPr>
          <w:color w:val="000000" w:themeColor="text1"/>
          <w:lang w:val="en-US"/>
        </w:rPr>
        <w:t>integrated handling of PDU Sets can be extended</w:t>
      </w:r>
      <w:r w:rsidR="00D3623D">
        <w:rPr>
          <w:color w:val="000000" w:themeColor="text1"/>
          <w:lang w:val="en-US"/>
        </w:rPr>
        <w:t xml:space="preserve"> in such cases</w:t>
      </w:r>
      <w:r>
        <w:rPr>
          <w:color w:val="000000" w:themeColor="text1"/>
          <w:lang w:val="en-US"/>
        </w:rPr>
        <w:t xml:space="preserve">. </w:t>
      </w:r>
      <w:r>
        <w:rPr>
          <w:color w:val="000000" w:themeColor="text1"/>
          <w:lang w:val="en-US"/>
        </w:rPr>
        <w:t>When calculating the buffer size of portion</w:t>
      </w:r>
      <w:r w:rsidR="00D3623D">
        <w:rPr>
          <w:color w:val="000000" w:themeColor="text1"/>
          <w:lang w:val="en-US"/>
        </w:rPr>
        <w:t>s corresponding to different remaining time ranges</w:t>
      </w:r>
      <w:r>
        <w:rPr>
          <w:color w:val="000000" w:themeColor="text1"/>
          <w:lang w:val="en-US"/>
        </w:rPr>
        <w:t xml:space="preserve">, we think all PDCP SDUs of a PDU Set should be included in the buffer size for the portion corresponding to the smallest remaining time among the </w:t>
      </w:r>
      <w:r w:rsidR="009D3E24">
        <w:rPr>
          <w:color w:val="000000" w:themeColor="text1"/>
          <w:lang w:val="en-US"/>
        </w:rPr>
        <w:t>PDCP SDUs of this PDU Set. Th</w:t>
      </w:r>
      <w:r w:rsidR="00537546">
        <w:rPr>
          <w:color w:val="000000" w:themeColor="text1"/>
          <w:lang w:val="en-US"/>
        </w:rPr>
        <w:t>erefore</w:t>
      </w:r>
      <w:r w:rsidR="009D3E24">
        <w:rPr>
          <w:color w:val="000000" w:themeColor="text1"/>
          <w:lang w:val="en-US"/>
        </w:rPr>
        <w:t xml:space="preserve">, </w:t>
      </w:r>
      <w:r w:rsidR="00D3623D">
        <w:rPr>
          <w:color w:val="000000" w:themeColor="text1"/>
          <w:lang w:val="en-US"/>
        </w:rPr>
        <w:t>when</w:t>
      </w:r>
      <w:r w:rsidR="009D3E24">
        <w:rPr>
          <w:color w:val="000000" w:themeColor="text1"/>
          <w:lang w:val="en-US"/>
        </w:rPr>
        <w:t xml:space="preserve"> the most urgent PDCP SDU of a PDU Set is being included in the buffer size calculation for a specific portion, all other PDCP SDUs of the same PDU Set should also be included in the same portion, if </w:t>
      </w:r>
      <w:proofErr w:type="spellStart"/>
      <w:r w:rsidR="009D3E24" w:rsidRPr="009D3E24">
        <w:rPr>
          <w:i/>
          <w:iCs/>
          <w:color w:val="000000" w:themeColor="text1"/>
          <w:lang w:val="en-US"/>
        </w:rPr>
        <w:t>pdu-SetDiscard</w:t>
      </w:r>
      <w:proofErr w:type="spellEnd"/>
      <w:r w:rsidR="009D3E24">
        <w:rPr>
          <w:color w:val="000000" w:themeColor="text1"/>
          <w:lang w:val="en-US"/>
        </w:rPr>
        <w:t xml:space="preserve"> is configured. </w:t>
      </w:r>
    </w:p>
    <w:p w14:paraId="03FC9F33" w14:textId="26BFF02E" w:rsidR="005656FA" w:rsidRPr="009D3E24" w:rsidRDefault="005656FA" w:rsidP="005656FA">
      <w:pPr>
        <w:jc w:val="both"/>
        <w:rPr>
          <w:b/>
          <w:bCs/>
          <w:color w:val="000000" w:themeColor="text1"/>
          <w:lang w:val="en-US"/>
        </w:rPr>
      </w:pPr>
      <w:r w:rsidRPr="009D3E24">
        <w:rPr>
          <w:b/>
          <w:bCs/>
          <w:color w:val="000000" w:themeColor="text1"/>
          <w:lang w:val="en-US"/>
        </w:rPr>
        <w:t xml:space="preserve">Proposal </w:t>
      </w:r>
      <w:r w:rsidR="00BB5CE3">
        <w:rPr>
          <w:b/>
          <w:bCs/>
          <w:color w:val="000000" w:themeColor="text1"/>
          <w:lang w:val="en-US"/>
        </w:rPr>
        <w:t>4</w:t>
      </w:r>
      <w:r w:rsidRPr="009D3E24">
        <w:rPr>
          <w:b/>
          <w:bCs/>
          <w:color w:val="000000" w:themeColor="text1"/>
          <w:lang w:val="en-US"/>
        </w:rPr>
        <w:t xml:space="preserve">: If </w:t>
      </w:r>
      <w:proofErr w:type="spellStart"/>
      <w:r w:rsidRPr="009D3E24">
        <w:rPr>
          <w:b/>
          <w:bCs/>
          <w:i/>
          <w:iCs/>
          <w:color w:val="000000" w:themeColor="text1"/>
          <w:lang w:val="en-US"/>
        </w:rPr>
        <w:t>pdu-SetDiscard</w:t>
      </w:r>
      <w:proofErr w:type="spellEnd"/>
      <w:r w:rsidRPr="009D3E24">
        <w:rPr>
          <w:b/>
          <w:bCs/>
          <w:color w:val="000000" w:themeColor="text1"/>
          <w:lang w:val="en-US"/>
        </w:rPr>
        <w:t xml:space="preserve"> is configured, all PDCP SDUs of a PDU Set should be included in the </w:t>
      </w:r>
      <w:r>
        <w:rPr>
          <w:b/>
          <w:bCs/>
          <w:color w:val="000000" w:themeColor="text1"/>
          <w:lang w:val="en-US"/>
        </w:rPr>
        <w:t>data volume calculation</w:t>
      </w:r>
      <w:r w:rsidRPr="009D3E24">
        <w:rPr>
          <w:b/>
          <w:bCs/>
          <w:color w:val="000000" w:themeColor="text1"/>
          <w:lang w:val="en-US"/>
        </w:rPr>
        <w:t xml:space="preserve"> for the </w:t>
      </w:r>
      <w:r>
        <w:rPr>
          <w:b/>
          <w:bCs/>
          <w:color w:val="000000" w:themeColor="text1"/>
          <w:lang w:val="en-US"/>
        </w:rPr>
        <w:t xml:space="preserve">same buffer </w:t>
      </w:r>
      <w:r w:rsidRPr="009D3E24">
        <w:rPr>
          <w:b/>
          <w:bCs/>
          <w:color w:val="000000" w:themeColor="text1"/>
          <w:lang w:val="en-US"/>
        </w:rPr>
        <w:t xml:space="preserve">portion </w:t>
      </w:r>
      <w:r>
        <w:rPr>
          <w:b/>
          <w:bCs/>
          <w:color w:val="000000" w:themeColor="text1"/>
          <w:lang w:val="en-US"/>
        </w:rPr>
        <w:t xml:space="preserve">that </w:t>
      </w:r>
      <w:r w:rsidRPr="009D3E24">
        <w:rPr>
          <w:b/>
          <w:bCs/>
          <w:color w:val="000000" w:themeColor="text1"/>
          <w:lang w:val="en-US"/>
        </w:rPr>
        <w:t>correspond</w:t>
      </w:r>
      <w:r>
        <w:rPr>
          <w:b/>
          <w:bCs/>
          <w:color w:val="000000" w:themeColor="text1"/>
          <w:lang w:val="en-US"/>
        </w:rPr>
        <w:t>s</w:t>
      </w:r>
      <w:r w:rsidRPr="009D3E24">
        <w:rPr>
          <w:b/>
          <w:bCs/>
          <w:color w:val="000000" w:themeColor="text1"/>
          <w:lang w:val="en-US"/>
        </w:rPr>
        <w:t xml:space="preserve"> to the smallest remaining time among the PDCP SDUs of this PDU Set.</w:t>
      </w:r>
    </w:p>
    <w:p w14:paraId="5420DA43" w14:textId="77777777" w:rsidR="009D3E24" w:rsidRDefault="009D3E24" w:rsidP="009062A7">
      <w:pPr>
        <w:jc w:val="both"/>
        <w:rPr>
          <w:color w:val="000000" w:themeColor="text1"/>
          <w:lang w:val="en-US"/>
        </w:rPr>
      </w:pPr>
    </w:p>
    <w:p w14:paraId="23D858EB" w14:textId="51869F6E" w:rsidR="009D3E24" w:rsidRDefault="009D3E24" w:rsidP="009062A7">
      <w:pPr>
        <w:jc w:val="both"/>
        <w:rPr>
          <w:color w:val="000000" w:themeColor="text1"/>
          <w:lang w:val="en-US"/>
        </w:rPr>
      </w:pPr>
      <w:r>
        <w:rPr>
          <w:color w:val="000000" w:themeColor="text1"/>
          <w:lang w:val="en-US"/>
        </w:rPr>
        <w:t xml:space="preserve">Moreover, if a PDCP SDU has been included in the data volume calculation for a </w:t>
      </w:r>
      <w:r w:rsidR="00C71962">
        <w:rPr>
          <w:color w:val="000000" w:themeColor="text1"/>
          <w:lang w:val="en-US"/>
        </w:rPr>
        <w:t xml:space="preserve">buffer </w:t>
      </w:r>
      <w:r>
        <w:rPr>
          <w:color w:val="000000" w:themeColor="text1"/>
          <w:lang w:val="en-US"/>
        </w:rPr>
        <w:t>portion</w:t>
      </w:r>
      <w:r w:rsidR="00C71962">
        <w:rPr>
          <w:color w:val="000000" w:themeColor="text1"/>
          <w:lang w:val="en-US"/>
        </w:rPr>
        <w:t xml:space="preserve"> (for example, in the </w:t>
      </w:r>
      <w:proofErr w:type="spellStart"/>
      <w:r w:rsidR="00C71962" w:rsidRPr="00C71962">
        <w:rPr>
          <w:i/>
          <w:iCs/>
          <w:color w:val="000000" w:themeColor="text1"/>
          <w:lang w:val="en-US"/>
        </w:rPr>
        <w:t>pdu-SetDiscard</w:t>
      </w:r>
      <w:proofErr w:type="spellEnd"/>
      <w:r w:rsidR="00C71962" w:rsidRPr="009D3E24">
        <w:rPr>
          <w:b/>
          <w:bCs/>
          <w:color w:val="000000" w:themeColor="text1"/>
          <w:lang w:val="en-US"/>
        </w:rPr>
        <w:t xml:space="preserve"> </w:t>
      </w:r>
      <w:r w:rsidR="00C71962">
        <w:rPr>
          <w:color w:val="000000" w:themeColor="text1"/>
          <w:lang w:val="en-US"/>
        </w:rPr>
        <w:t xml:space="preserve">cases elaborated in Proposal </w:t>
      </w:r>
      <w:r w:rsidR="005A4FF6">
        <w:rPr>
          <w:color w:val="000000" w:themeColor="text1"/>
          <w:lang w:val="en-US"/>
        </w:rPr>
        <w:t>4</w:t>
      </w:r>
      <w:r w:rsidR="00C71962">
        <w:rPr>
          <w:color w:val="000000" w:themeColor="text1"/>
          <w:lang w:val="en-US"/>
        </w:rPr>
        <w:t>)</w:t>
      </w:r>
      <w:r>
        <w:rPr>
          <w:color w:val="000000" w:themeColor="text1"/>
          <w:lang w:val="en-US"/>
        </w:rPr>
        <w:t xml:space="preserve">, it should not be included </w:t>
      </w:r>
      <w:r w:rsidR="00D3623D">
        <w:rPr>
          <w:color w:val="000000" w:themeColor="text1"/>
          <w:lang w:val="en-US"/>
        </w:rPr>
        <w:t xml:space="preserve">again </w:t>
      </w:r>
      <w:r>
        <w:rPr>
          <w:color w:val="000000" w:themeColor="text1"/>
          <w:lang w:val="en-US"/>
        </w:rPr>
        <w:t xml:space="preserve">in the data volume calculation for another </w:t>
      </w:r>
      <w:r w:rsidR="00C71962">
        <w:rPr>
          <w:color w:val="000000" w:themeColor="text1"/>
          <w:lang w:val="en-US"/>
        </w:rPr>
        <w:t xml:space="preserve">buffer </w:t>
      </w:r>
      <w:r>
        <w:rPr>
          <w:color w:val="000000" w:themeColor="text1"/>
          <w:lang w:val="en-US"/>
        </w:rPr>
        <w:t xml:space="preserve">portion, regardless of </w:t>
      </w:r>
      <w:r w:rsidR="00C71962">
        <w:rPr>
          <w:color w:val="000000" w:themeColor="text1"/>
          <w:lang w:val="en-US"/>
        </w:rPr>
        <w:t xml:space="preserve">its </w:t>
      </w:r>
      <w:r>
        <w:rPr>
          <w:color w:val="000000" w:themeColor="text1"/>
          <w:lang w:val="en-US"/>
        </w:rPr>
        <w:t xml:space="preserve">remaining time and the remaining time range that these </w:t>
      </w:r>
      <w:r w:rsidR="00C71962">
        <w:rPr>
          <w:color w:val="000000" w:themeColor="text1"/>
          <w:lang w:val="en-US"/>
        </w:rPr>
        <w:t xml:space="preserve">buffer </w:t>
      </w:r>
      <w:r>
        <w:rPr>
          <w:color w:val="000000" w:themeColor="text1"/>
          <w:lang w:val="en-US"/>
        </w:rPr>
        <w:t xml:space="preserve">portions correspond to. </w:t>
      </w:r>
      <w:r w:rsidR="00A65DE5">
        <w:rPr>
          <w:color w:val="000000" w:themeColor="text1"/>
          <w:lang w:val="en-US"/>
        </w:rPr>
        <w:t>Apparently, t</w:t>
      </w:r>
      <w:r>
        <w:rPr>
          <w:color w:val="000000" w:themeColor="text1"/>
          <w:lang w:val="en-US"/>
        </w:rPr>
        <w:t xml:space="preserve">his is needed as we should avoid “double counting” issues </w:t>
      </w:r>
      <w:r w:rsidR="00C71962">
        <w:rPr>
          <w:color w:val="000000" w:themeColor="text1"/>
          <w:lang w:val="en-US"/>
        </w:rPr>
        <w:t xml:space="preserve">of data volume calculation </w:t>
      </w:r>
      <w:r>
        <w:rPr>
          <w:color w:val="000000" w:themeColor="text1"/>
          <w:lang w:val="en-US"/>
        </w:rPr>
        <w:t xml:space="preserve">that </w:t>
      </w:r>
      <w:r w:rsidR="00C71962">
        <w:rPr>
          <w:color w:val="000000" w:themeColor="text1"/>
          <w:lang w:val="en-US"/>
        </w:rPr>
        <w:t xml:space="preserve">can </w:t>
      </w:r>
      <w:r>
        <w:rPr>
          <w:color w:val="000000" w:themeColor="text1"/>
          <w:lang w:val="en-US"/>
        </w:rPr>
        <w:t xml:space="preserve">result in inaccurate buffer size information </w:t>
      </w:r>
      <w:r w:rsidR="00C71962">
        <w:rPr>
          <w:color w:val="000000" w:themeColor="text1"/>
          <w:lang w:val="en-US"/>
        </w:rPr>
        <w:t>of DSR.</w:t>
      </w:r>
    </w:p>
    <w:p w14:paraId="3FEFAD28" w14:textId="0FFDED8E" w:rsidR="00C71962" w:rsidRPr="00C71962" w:rsidRDefault="00C71962" w:rsidP="009062A7">
      <w:pPr>
        <w:jc w:val="both"/>
        <w:rPr>
          <w:b/>
          <w:bCs/>
          <w:color w:val="000000" w:themeColor="text1"/>
          <w:lang w:val="en-US"/>
        </w:rPr>
      </w:pPr>
      <w:r w:rsidRPr="009D3E24">
        <w:rPr>
          <w:b/>
          <w:bCs/>
          <w:color w:val="000000" w:themeColor="text1"/>
          <w:lang w:val="en-US"/>
        </w:rPr>
        <w:t xml:space="preserve">Proposal </w:t>
      </w:r>
      <w:r w:rsidR="00BB5CE3">
        <w:rPr>
          <w:b/>
          <w:bCs/>
          <w:color w:val="000000" w:themeColor="text1"/>
          <w:lang w:val="en-US"/>
        </w:rPr>
        <w:t>5</w:t>
      </w:r>
      <w:r w:rsidRPr="009D3E24">
        <w:rPr>
          <w:b/>
          <w:bCs/>
          <w:color w:val="000000" w:themeColor="text1"/>
          <w:lang w:val="en-US"/>
        </w:rPr>
        <w:t xml:space="preserve">: </w:t>
      </w:r>
      <w:r>
        <w:rPr>
          <w:b/>
          <w:bCs/>
          <w:color w:val="000000" w:themeColor="text1"/>
          <w:lang w:val="en-US"/>
        </w:rPr>
        <w:t xml:space="preserve">A PDCP SDU that has been included in the data volume calculation for </w:t>
      </w:r>
      <w:r w:rsidR="00D3623D">
        <w:rPr>
          <w:b/>
          <w:bCs/>
          <w:color w:val="000000" w:themeColor="text1"/>
          <w:lang w:val="en-US"/>
        </w:rPr>
        <w:t>one</w:t>
      </w:r>
      <w:r>
        <w:rPr>
          <w:b/>
          <w:bCs/>
          <w:color w:val="000000" w:themeColor="text1"/>
          <w:lang w:val="en-US"/>
        </w:rPr>
        <w:t xml:space="preserve"> buffer portion should not be </w:t>
      </w:r>
      <w:r w:rsidR="00D3623D">
        <w:rPr>
          <w:b/>
          <w:bCs/>
          <w:color w:val="000000" w:themeColor="text1"/>
          <w:lang w:val="en-US"/>
        </w:rPr>
        <w:t>counted again</w:t>
      </w:r>
      <w:r>
        <w:rPr>
          <w:b/>
          <w:bCs/>
          <w:color w:val="000000" w:themeColor="text1"/>
          <w:lang w:val="en-US"/>
        </w:rPr>
        <w:t xml:space="preserve"> </w:t>
      </w:r>
      <w:r w:rsidR="007B0B0D">
        <w:rPr>
          <w:b/>
          <w:bCs/>
          <w:color w:val="000000" w:themeColor="text1"/>
          <w:lang w:val="en-US"/>
        </w:rPr>
        <w:t>in the data volume calculation for</w:t>
      </w:r>
      <w:r>
        <w:rPr>
          <w:b/>
          <w:bCs/>
          <w:color w:val="000000" w:themeColor="text1"/>
          <w:lang w:val="en-US"/>
        </w:rPr>
        <w:t xml:space="preserve"> another buffer portion</w:t>
      </w:r>
      <w:r w:rsidR="00D3623D">
        <w:rPr>
          <w:b/>
          <w:bCs/>
          <w:color w:val="000000" w:themeColor="text1"/>
          <w:lang w:val="en-US"/>
        </w:rPr>
        <w:t xml:space="preserve"> for DSR</w:t>
      </w:r>
      <w:r>
        <w:rPr>
          <w:b/>
          <w:bCs/>
          <w:color w:val="000000" w:themeColor="text1"/>
          <w:lang w:val="en-US"/>
        </w:rPr>
        <w:t>, regardless of its remaining time.</w:t>
      </w:r>
    </w:p>
    <w:p w14:paraId="626DE960" w14:textId="77777777" w:rsidR="000C4023" w:rsidRPr="00B06924" w:rsidRDefault="000C4023" w:rsidP="003A5414">
      <w:pPr>
        <w:jc w:val="both"/>
        <w:rPr>
          <w:color w:val="000000" w:themeColor="text1"/>
          <w:lang w:val="en-US"/>
        </w:rPr>
      </w:pPr>
    </w:p>
    <w:p w14:paraId="3B62EC4A" w14:textId="333C697B" w:rsidR="009B0746" w:rsidRPr="00CB5EE9" w:rsidRDefault="009B0746" w:rsidP="009B0746">
      <w:pPr>
        <w:pStyle w:val="Heading1"/>
        <w:rPr>
          <w:lang w:val="en-US"/>
        </w:rPr>
      </w:pPr>
      <w:r>
        <w:rPr>
          <w:lang w:val="en-US"/>
        </w:rPr>
        <w:t>Conclusions</w:t>
      </w:r>
    </w:p>
    <w:p w14:paraId="2746229F" w14:textId="7772B3C4" w:rsidR="00531ABE" w:rsidRDefault="00F136C7" w:rsidP="00D722FE">
      <w:pPr>
        <w:jc w:val="both"/>
        <w:rPr>
          <w:iCs/>
          <w:lang w:val="en-US"/>
        </w:rPr>
      </w:pPr>
      <w:r>
        <w:rPr>
          <w:iCs/>
          <w:lang w:val="en-US"/>
        </w:rPr>
        <w:t xml:space="preserve">In this paper, </w:t>
      </w:r>
      <w:r w:rsidR="00FD5DE1">
        <w:rPr>
          <w:iCs/>
          <w:lang w:val="en-US"/>
        </w:rPr>
        <w:t xml:space="preserve">we </w:t>
      </w:r>
      <w:r w:rsidR="004136F8">
        <w:rPr>
          <w:iCs/>
          <w:lang w:val="en-US"/>
        </w:rPr>
        <w:t xml:space="preserve">have </w:t>
      </w:r>
      <w:r w:rsidR="00C71962">
        <w:rPr>
          <w:iCs/>
          <w:lang w:val="en-US"/>
        </w:rPr>
        <w:t>the following observation and proposals</w:t>
      </w:r>
      <w:r w:rsidR="005D37FB">
        <w:rPr>
          <w:iCs/>
          <w:lang w:val="en-US"/>
        </w:rPr>
        <w:t xml:space="preserve"> for Rel-19 DSR enhancements</w:t>
      </w:r>
      <w:r w:rsidR="004136F8">
        <w:rPr>
          <w:iCs/>
          <w:lang w:val="en-US"/>
        </w:rPr>
        <w:t>:</w:t>
      </w:r>
    </w:p>
    <w:p w14:paraId="3FB2D48D" w14:textId="77777777" w:rsidR="00C71962" w:rsidRDefault="00C71962" w:rsidP="00C71962">
      <w:pPr>
        <w:jc w:val="both"/>
        <w:rPr>
          <w:b/>
          <w:bCs/>
          <w:lang w:val="en-US"/>
        </w:rPr>
      </w:pPr>
      <w:r w:rsidRPr="00BE2DD1">
        <w:rPr>
          <w:b/>
          <w:bCs/>
          <w:lang w:val="en-US"/>
        </w:rPr>
        <w:t xml:space="preserve">Observation 1: </w:t>
      </w:r>
      <w:r>
        <w:rPr>
          <w:b/>
          <w:bCs/>
          <w:lang w:val="en-US"/>
        </w:rPr>
        <w:t>Whether a DSR should be triggered or cancelled depends on if there is any buffered PDCP SDU with remaining time smaller than the DSR triggering threshold. It does not depend on the remaining time of PDCP SDU that is to be included for DSR buffer size calculation.</w:t>
      </w:r>
    </w:p>
    <w:p w14:paraId="55B42097" w14:textId="77777777" w:rsidR="00C71962" w:rsidRPr="00BE2DD1" w:rsidRDefault="00C71962" w:rsidP="00C71962">
      <w:pPr>
        <w:jc w:val="both"/>
        <w:rPr>
          <w:b/>
          <w:bCs/>
          <w:lang w:val="en-US"/>
        </w:rPr>
      </w:pPr>
    </w:p>
    <w:p w14:paraId="40FB7C6C" w14:textId="77777777" w:rsidR="00C3441D" w:rsidRDefault="00C3441D" w:rsidP="00C3441D">
      <w:pPr>
        <w:jc w:val="both"/>
        <w:rPr>
          <w:b/>
          <w:bCs/>
          <w:color w:val="000000" w:themeColor="text1"/>
          <w:lang w:val="en-US"/>
        </w:rPr>
      </w:pPr>
      <w:r>
        <w:rPr>
          <w:b/>
          <w:bCs/>
          <w:color w:val="000000" w:themeColor="text1"/>
          <w:lang w:val="en-US"/>
        </w:rPr>
        <w:t>Proposal 1</w:t>
      </w:r>
      <w:r w:rsidRPr="004B12F8">
        <w:rPr>
          <w:b/>
          <w:bCs/>
          <w:color w:val="000000" w:themeColor="text1"/>
          <w:lang w:val="en-US"/>
        </w:rPr>
        <w:t xml:space="preserve">: </w:t>
      </w:r>
      <w:r>
        <w:rPr>
          <w:b/>
          <w:bCs/>
          <w:color w:val="000000" w:themeColor="text1"/>
          <w:lang w:val="en-US"/>
        </w:rPr>
        <w:t>The network can select any of the multiple reporting thresholds configured for an LCG as the DSR triggering threshold.</w:t>
      </w:r>
    </w:p>
    <w:p w14:paraId="38DE07BF" w14:textId="4F2DA3B2" w:rsidR="00BB5CE3" w:rsidRDefault="00BB5CE3" w:rsidP="00C3441D">
      <w:pPr>
        <w:jc w:val="both"/>
        <w:rPr>
          <w:b/>
          <w:bCs/>
          <w:color w:val="000000" w:themeColor="text1"/>
          <w:lang w:val="en-US"/>
        </w:rPr>
      </w:pPr>
      <w:r>
        <w:rPr>
          <w:b/>
          <w:bCs/>
          <w:color w:val="000000" w:themeColor="text1"/>
          <w:lang w:val="en-US"/>
        </w:rPr>
        <w:t>Proposal 2</w:t>
      </w:r>
      <w:r w:rsidRPr="004B12F8">
        <w:rPr>
          <w:b/>
          <w:bCs/>
          <w:color w:val="000000" w:themeColor="text1"/>
          <w:lang w:val="en-US"/>
        </w:rPr>
        <w:t xml:space="preserve">: </w:t>
      </w:r>
      <w:r>
        <w:rPr>
          <w:b/>
          <w:bCs/>
          <w:color w:val="000000" w:themeColor="text1"/>
          <w:lang w:val="en-US"/>
        </w:rPr>
        <w:t xml:space="preserve">There is no need to include non-delay critical data ahead of delay-critical data in the buffer size calculation for DSR. </w:t>
      </w:r>
    </w:p>
    <w:p w14:paraId="635D5F01" w14:textId="51A83739" w:rsidR="005D37FB" w:rsidRDefault="005D37FB" w:rsidP="005D37FB">
      <w:pPr>
        <w:jc w:val="both"/>
        <w:rPr>
          <w:b/>
          <w:bCs/>
          <w:color w:val="000000" w:themeColor="text1"/>
          <w:lang w:val="en-US"/>
        </w:rPr>
      </w:pPr>
      <w:r>
        <w:rPr>
          <w:b/>
          <w:bCs/>
          <w:color w:val="000000" w:themeColor="text1"/>
          <w:lang w:val="en-US"/>
        </w:rPr>
        <w:lastRenderedPageBreak/>
        <w:t xml:space="preserve">Proposal </w:t>
      </w:r>
      <w:r w:rsidR="00BB5CE3">
        <w:rPr>
          <w:b/>
          <w:bCs/>
          <w:color w:val="000000" w:themeColor="text1"/>
          <w:lang w:val="en-US"/>
        </w:rPr>
        <w:t>3</w:t>
      </w:r>
      <w:r w:rsidRPr="004B12F8">
        <w:rPr>
          <w:b/>
          <w:bCs/>
          <w:color w:val="000000" w:themeColor="text1"/>
          <w:lang w:val="en-US"/>
        </w:rPr>
        <w:t xml:space="preserve">: </w:t>
      </w:r>
      <w:r>
        <w:rPr>
          <w:b/>
          <w:bCs/>
          <w:color w:val="000000" w:themeColor="text1"/>
          <w:lang w:val="en-US"/>
        </w:rPr>
        <w:t>If all pending DSRs are triggered by the LCGs configured with only one remaining time threshold, the specification should allow the UE to select either Rel-18 DSR MAC CE or Rel-19 DSR MAC CE if they have the same signaling overheads. There is no need to mandate the UE behaviors for DSR MAC CE format selection in such cases.</w:t>
      </w:r>
    </w:p>
    <w:p w14:paraId="62B864D8" w14:textId="743C9D3D" w:rsidR="00C71962" w:rsidRPr="009D3E24" w:rsidRDefault="00C71962" w:rsidP="00C71962">
      <w:pPr>
        <w:jc w:val="both"/>
        <w:rPr>
          <w:b/>
          <w:bCs/>
          <w:color w:val="000000" w:themeColor="text1"/>
          <w:lang w:val="en-US"/>
        </w:rPr>
      </w:pPr>
      <w:r w:rsidRPr="009D3E24">
        <w:rPr>
          <w:b/>
          <w:bCs/>
          <w:color w:val="000000" w:themeColor="text1"/>
          <w:lang w:val="en-US"/>
        </w:rPr>
        <w:t xml:space="preserve">Proposal </w:t>
      </w:r>
      <w:r w:rsidR="00BB5CE3">
        <w:rPr>
          <w:b/>
          <w:bCs/>
          <w:color w:val="000000" w:themeColor="text1"/>
          <w:lang w:val="en-US"/>
        </w:rPr>
        <w:t>4</w:t>
      </w:r>
      <w:r w:rsidRPr="009D3E24">
        <w:rPr>
          <w:b/>
          <w:bCs/>
          <w:color w:val="000000" w:themeColor="text1"/>
          <w:lang w:val="en-US"/>
        </w:rPr>
        <w:t xml:space="preserve">: If </w:t>
      </w:r>
      <w:proofErr w:type="spellStart"/>
      <w:r w:rsidRPr="009D3E24">
        <w:rPr>
          <w:b/>
          <w:bCs/>
          <w:i/>
          <w:iCs/>
          <w:color w:val="000000" w:themeColor="text1"/>
          <w:lang w:val="en-US"/>
        </w:rPr>
        <w:t>pdu-SetDiscard</w:t>
      </w:r>
      <w:proofErr w:type="spellEnd"/>
      <w:r w:rsidRPr="009D3E24">
        <w:rPr>
          <w:b/>
          <w:bCs/>
          <w:color w:val="000000" w:themeColor="text1"/>
          <w:lang w:val="en-US"/>
        </w:rPr>
        <w:t xml:space="preserve"> is configured, all PDCP SDUs of a PDU Set should be included in the </w:t>
      </w:r>
      <w:r>
        <w:rPr>
          <w:b/>
          <w:bCs/>
          <w:color w:val="000000" w:themeColor="text1"/>
          <w:lang w:val="en-US"/>
        </w:rPr>
        <w:t>data volume calculation</w:t>
      </w:r>
      <w:r w:rsidRPr="009D3E24">
        <w:rPr>
          <w:b/>
          <w:bCs/>
          <w:color w:val="000000" w:themeColor="text1"/>
          <w:lang w:val="en-US"/>
        </w:rPr>
        <w:t xml:space="preserve"> for the </w:t>
      </w:r>
      <w:r w:rsidR="005656FA">
        <w:rPr>
          <w:b/>
          <w:bCs/>
          <w:color w:val="000000" w:themeColor="text1"/>
          <w:lang w:val="en-US"/>
        </w:rPr>
        <w:t xml:space="preserve">same </w:t>
      </w:r>
      <w:r>
        <w:rPr>
          <w:b/>
          <w:bCs/>
          <w:color w:val="000000" w:themeColor="text1"/>
          <w:lang w:val="en-US"/>
        </w:rPr>
        <w:t xml:space="preserve">buffer </w:t>
      </w:r>
      <w:r w:rsidRPr="009D3E24">
        <w:rPr>
          <w:b/>
          <w:bCs/>
          <w:color w:val="000000" w:themeColor="text1"/>
          <w:lang w:val="en-US"/>
        </w:rPr>
        <w:t xml:space="preserve">portion </w:t>
      </w:r>
      <w:r w:rsidR="005656FA">
        <w:rPr>
          <w:b/>
          <w:bCs/>
          <w:color w:val="000000" w:themeColor="text1"/>
          <w:lang w:val="en-US"/>
        </w:rPr>
        <w:t xml:space="preserve">that </w:t>
      </w:r>
      <w:r w:rsidRPr="009D3E24">
        <w:rPr>
          <w:b/>
          <w:bCs/>
          <w:color w:val="000000" w:themeColor="text1"/>
          <w:lang w:val="en-US"/>
        </w:rPr>
        <w:t>correspond</w:t>
      </w:r>
      <w:r w:rsidR="005656FA">
        <w:rPr>
          <w:b/>
          <w:bCs/>
          <w:color w:val="000000" w:themeColor="text1"/>
          <w:lang w:val="en-US"/>
        </w:rPr>
        <w:t>s</w:t>
      </w:r>
      <w:r w:rsidRPr="009D3E24">
        <w:rPr>
          <w:b/>
          <w:bCs/>
          <w:color w:val="000000" w:themeColor="text1"/>
          <w:lang w:val="en-US"/>
        </w:rPr>
        <w:t xml:space="preserve"> to the smallest remaining time among the PDCP SDUs of this PDU Set.</w:t>
      </w:r>
    </w:p>
    <w:p w14:paraId="0341DE08" w14:textId="5E6643EA" w:rsidR="007B0B0D" w:rsidRPr="00C71962" w:rsidRDefault="007B0B0D" w:rsidP="007B0B0D">
      <w:pPr>
        <w:jc w:val="both"/>
        <w:rPr>
          <w:b/>
          <w:bCs/>
          <w:color w:val="000000" w:themeColor="text1"/>
          <w:lang w:val="en-US"/>
        </w:rPr>
      </w:pPr>
      <w:r w:rsidRPr="009D3E24">
        <w:rPr>
          <w:b/>
          <w:bCs/>
          <w:color w:val="000000" w:themeColor="text1"/>
          <w:lang w:val="en-US"/>
        </w:rPr>
        <w:t xml:space="preserve">Proposal </w:t>
      </w:r>
      <w:r w:rsidR="00BB5CE3">
        <w:rPr>
          <w:b/>
          <w:bCs/>
          <w:color w:val="000000" w:themeColor="text1"/>
          <w:lang w:val="en-US"/>
        </w:rPr>
        <w:t>5</w:t>
      </w:r>
      <w:r w:rsidRPr="009D3E24">
        <w:rPr>
          <w:b/>
          <w:bCs/>
          <w:color w:val="000000" w:themeColor="text1"/>
          <w:lang w:val="en-US"/>
        </w:rPr>
        <w:t xml:space="preserve">: </w:t>
      </w:r>
      <w:r>
        <w:rPr>
          <w:b/>
          <w:bCs/>
          <w:color w:val="000000" w:themeColor="text1"/>
          <w:lang w:val="en-US"/>
        </w:rPr>
        <w:t>A PDCP SDU that has been included in the data volume calculation for one buffer portion should not be counted again in the data volume calculation for another buffer portion for DSR, regardless of its remaining time.</w:t>
      </w:r>
    </w:p>
    <w:p w14:paraId="3E23C260" w14:textId="77777777" w:rsidR="00FD5DE1" w:rsidRDefault="00FD5DE1"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29D26D2D" w14:textId="77777777" w:rsidR="00B6344D" w:rsidRPr="00901E55" w:rsidRDefault="00B6344D" w:rsidP="00B6344D">
      <w:pPr>
        <w:numPr>
          <w:ilvl w:val="0"/>
          <w:numId w:val="26"/>
        </w:numPr>
        <w:overflowPunct w:val="0"/>
        <w:autoSpaceDE w:val="0"/>
        <w:autoSpaceDN w:val="0"/>
        <w:adjustRightInd w:val="0"/>
        <w:spacing w:before="100" w:beforeAutospacing="1" w:after="100" w:afterAutospacing="1"/>
        <w:ind w:left="562" w:hanging="562"/>
        <w:jc w:val="both"/>
        <w:textAlignment w:val="baseline"/>
      </w:pPr>
      <w:r>
        <w:t xml:space="preserve">RP-241771, </w:t>
      </w:r>
      <w:r w:rsidRPr="00C32E53">
        <w:t>Re</w:t>
      </w:r>
      <w:r w:rsidRPr="00C32E53">
        <w:rPr>
          <w:rFonts w:eastAsia="Batang"/>
          <w:lang w:eastAsia="zh-CN"/>
        </w:rPr>
        <w:t>vised WID on XR (</w:t>
      </w:r>
      <w:proofErr w:type="spellStart"/>
      <w:r w:rsidRPr="00C32E53">
        <w:rPr>
          <w:rFonts w:eastAsia="Batang"/>
          <w:lang w:eastAsia="zh-CN"/>
        </w:rPr>
        <w:t>eXtended</w:t>
      </w:r>
      <w:proofErr w:type="spellEnd"/>
      <w:r w:rsidRPr="00C32E53">
        <w:rPr>
          <w:rFonts w:eastAsia="Batang"/>
          <w:lang w:eastAsia="zh-CN"/>
        </w:rPr>
        <w:t xml:space="preserve"> Reality) for NR Phase 3</w:t>
      </w:r>
      <w:r>
        <w:rPr>
          <w:rFonts w:eastAsia="Batang"/>
          <w:lang w:eastAsia="zh-CN"/>
        </w:rPr>
        <w:t>, Nokia (Rapporteur), Sept. 2024, Melbourne, Australia.</w:t>
      </w:r>
    </w:p>
    <w:p w14:paraId="5842CBDB" w14:textId="77777777" w:rsidR="00B6344D" w:rsidRDefault="00B6344D" w:rsidP="00B6344D">
      <w:pPr>
        <w:numPr>
          <w:ilvl w:val="0"/>
          <w:numId w:val="26"/>
        </w:numPr>
        <w:overflowPunct w:val="0"/>
        <w:autoSpaceDE w:val="0"/>
        <w:autoSpaceDN w:val="0"/>
        <w:adjustRightInd w:val="0"/>
        <w:spacing w:before="100" w:beforeAutospacing="1" w:after="100" w:afterAutospacing="1"/>
        <w:ind w:left="562" w:hanging="562"/>
        <w:jc w:val="both"/>
        <w:textAlignment w:val="baseline"/>
      </w:pPr>
      <w:r>
        <w:t>3GPP RAN2 #127 Chair’s Notes, Maastricht, Netherlands, August 2024.</w:t>
      </w:r>
    </w:p>
    <w:p w14:paraId="0BC4C80A" w14:textId="56DBCFAF" w:rsidR="003A4D5C" w:rsidRPr="00901E55" w:rsidRDefault="00C71962" w:rsidP="00275B18">
      <w:pPr>
        <w:numPr>
          <w:ilvl w:val="0"/>
          <w:numId w:val="26"/>
        </w:numPr>
        <w:overflowPunct w:val="0"/>
        <w:autoSpaceDE w:val="0"/>
        <w:autoSpaceDN w:val="0"/>
        <w:adjustRightInd w:val="0"/>
        <w:spacing w:before="100" w:beforeAutospacing="1" w:after="100" w:afterAutospacing="1"/>
        <w:ind w:left="562" w:hanging="562"/>
        <w:jc w:val="both"/>
        <w:textAlignment w:val="baseline"/>
      </w:pPr>
      <w:r>
        <w:t>3GPP RAN2 #127</w:t>
      </w:r>
      <w:r>
        <w:t>bis</w:t>
      </w:r>
      <w:r>
        <w:t xml:space="preserve"> Chair’s Notes, </w:t>
      </w:r>
      <w:r>
        <w:t>Hefei</w:t>
      </w:r>
      <w:r>
        <w:t xml:space="preserve">, </w:t>
      </w:r>
      <w:r>
        <w:t>China</w:t>
      </w:r>
      <w:r>
        <w:t xml:space="preserve">, </w:t>
      </w:r>
      <w:r>
        <w:t xml:space="preserve">October </w:t>
      </w:r>
      <w:r>
        <w:t>2024.</w:t>
      </w:r>
    </w:p>
    <w:sectPr w:rsidR="003A4D5C" w:rsidRPr="00901E55"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52A6BF" w14:textId="77777777" w:rsidR="0037536D" w:rsidRDefault="0037536D">
      <w:r>
        <w:separator/>
      </w:r>
    </w:p>
  </w:endnote>
  <w:endnote w:type="continuationSeparator" w:id="0">
    <w:p w14:paraId="6BFEE8B2" w14:textId="77777777" w:rsidR="0037536D" w:rsidRDefault="0037536D">
      <w:r>
        <w:continuationSeparator/>
      </w:r>
    </w:p>
  </w:endnote>
  <w:endnote w:type="continuationNotice" w:id="1">
    <w:p w14:paraId="6F63A7A3" w14:textId="77777777" w:rsidR="0037536D" w:rsidRDefault="003753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1CFC9D" w14:textId="77777777" w:rsidR="0037536D" w:rsidRDefault="0037536D">
      <w:r>
        <w:separator/>
      </w:r>
    </w:p>
  </w:footnote>
  <w:footnote w:type="continuationSeparator" w:id="0">
    <w:p w14:paraId="412019D1" w14:textId="77777777" w:rsidR="0037536D" w:rsidRDefault="0037536D">
      <w:r>
        <w:continuationSeparator/>
      </w:r>
    </w:p>
  </w:footnote>
  <w:footnote w:type="continuationNotice" w:id="1">
    <w:p w14:paraId="058B0202" w14:textId="77777777" w:rsidR="0037536D" w:rsidRDefault="003753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7"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1"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3"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3"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2"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620061D5"/>
    <w:multiLevelType w:val="hybridMultilevel"/>
    <w:tmpl w:val="F14CB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65"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69"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2"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74"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76"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0"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75"/>
  </w:num>
  <w:num w:numId="2" w16cid:durableId="1464886471">
    <w:abstractNumId w:val="0"/>
  </w:num>
  <w:num w:numId="3" w16cid:durableId="6106756">
    <w:abstractNumId w:val="1"/>
  </w:num>
  <w:num w:numId="4" w16cid:durableId="9181927">
    <w:abstractNumId w:val="2"/>
  </w:num>
  <w:num w:numId="5" w16cid:durableId="189296478">
    <w:abstractNumId w:val="79"/>
  </w:num>
  <w:num w:numId="6" w16cid:durableId="216478951">
    <w:abstractNumId w:val="3"/>
  </w:num>
  <w:num w:numId="7" w16cid:durableId="2145732921">
    <w:abstractNumId w:val="4"/>
  </w:num>
  <w:num w:numId="8" w16cid:durableId="910503920">
    <w:abstractNumId w:val="26"/>
  </w:num>
  <w:num w:numId="9" w16cid:durableId="418721023">
    <w:abstractNumId w:val="65"/>
  </w:num>
  <w:num w:numId="10" w16cid:durableId="701636600">
    <w:abstractNumId w:val="49"/>
  </w:num>
  <w:num w:numId="11" w16cid:durableId="1130325448">
    <w:abstractNumId w:val="19"/>
  </w:num>
  <w:num w:numId="12" w16cid:durableId="1997687803">
    <w:abstractNumId w:val="44"/>
  </w:num>
  <w:num w:numId="13" w16cid:durableId="1749767913">
    <w:abstractNumId w:val="71"/>
  </w:num>
  <w:num w:numId="14" w16cid:durableId="1287271592">
    <w:abstractNumId w:val="7"/>
  </w:num>
  <w:num w:numId="15" w16cid:durableId="1065492308">
    <w:abstractNumId w:val="15"/>
  </w:num>
  <w:num w:numId="16" w16cid:durableId="1691565340">
    <w:abstractNumId w:val="36"/>
  </w:num>
  <w:num w:numId="17" w16cid:durableId="1527668550">
    <w:abstractNumId w:val="21"/>
  </w:num>
  <w:num w:numId="18" w16cid:durableId="113863268">
    <w:abstractNumId w:val="12"/>
  </w:num>
  <w:num w:numId="19" w16cid:durableId="659583198">
    <w:abstractNumId w:val="52"/>
  </w:num>
  <w:num w:numId="20" w16cid:durableId="1308317274">
    <w:abstractNumId w:val="32"/>
  </w:num>
  <w:num w:numId="21" w16cid:durableId="1576550474">
    <w:abstractNumId w:val="23"/>
  </w:num>
  <w:num w:numId="22" w16cid:durableId="235358636">
    <w:abstractNumId w:val="34"/>
  </w:num>
  <w:num w:numId="23" w16cid:durableId="97602813">
    <w:abstractNumId w:val="62"/>
  </w:num>
  <w:num w:numId="24" w16cid:durableId="710617151">
    <w:abstractNumId w:val="64"/>
  </w:num>
  <w:num w:numId="25" w16cid:durableId="1384014814">
    <w:abstractNumId w:val="33"/>
  </w:num>
  <w:num w:numId="26" w16cid:durableId="912855578">
    <w:abstractNumId w:val="6"/>
  </w:num>
  <w:num w:numId="27" w16cid:durableId="1431848407">
    <w:abstractNumId w:val="67"/>
  </w:num>
  <w:num w:numId="28" w16cid:durableId="1499610725">
    <w:abstractNumId w:val="8"/>
  </w:num>
  <w:num w:numId="29" w16cid:durableId="1731878760">
    <w:abstractNumId w:val="60"/>
  </w:num>
  <w:num w:numId="30" w16cid:durableId="1642735486">
    <w:abstractNumId w:val="48"/>
  </w:num>
  <w:num w:numId="31" w16cid:durableId="49812754">
    <w:abstractNumId w:val="20"/>
  </w:num>
  <w:num w:numId="32" w16cid:durableId="1123622218">
    <w:abstractNumId w:val="61"/>
  </w:num>
  <w:num w:numId="33" w16cid:durableId="1913348842">
    <w:abstractNumId w:val="72"/>
  </w:num>
  <w:num w:numId="34" w16cid:durableId="616252452">
    <w:abstractNumId w:val="58"/>
  </w:num>
  <w:num w:numId="35" w16cid:durableId="1878852805">
    <w:abstractNumId w:val="39"/>
  </w:num>
  <w:num w:numId="36" w16cid:durableId="486896589">
    <w:abstractNumId w:val="46"/>
  </w:num>
  <w:num w:numId="37" w16cid:durableId="279000458">
    <w:abstractNumId w:val="37"/>
  </w:num>
  <w:num w:numId="38" w16cid:durableId="2066174909">
    <w:abstractNumId w:val="70"/>
  </w:num>
  <w:num w:numId="39" w16cid:durableId="1625572420">
    <w:abstractNumId w:val="30"/>
  </w:num>
  <w:num w:numId="40" w16cid:durableId="194776442">
    <w:abstractNumId w:val="77"/>
  </w:num>
  <w:num w:numId="41" w16cid:durableId="1049039292">
    <w:abstractNumId w:val="9"/>
  </w:num>
  <w:num w:numId="42" w16cid:durableId="1748335123">
    <w:abstractNumId w:val="80"/>
  </w:num>
  <w:num w:numId="43" w16cid:durableId="324863305">
    <w:abstractNumId w:val="78"/>
  </w:num>
  <w:num w:numId="44" w16cid:durableId="87776830">
    <w:abstractNumId w:val="41"/>
  </w:num>
  <w:num w:numId="45" w16cid:durableId="116878813">
    <w:abstractNumId w:val="5"/>
  </w:num>
  <w:num w:numId="46" w16cid:durableId="1556234868">
    <w:abstractNumId w:val="24"/>
  </w:num>
  <w:num w:numId="47" w16cid:durableId="1344823590">
    <w:abstractNumId w:val="50"/>
  </w:num>
  <w:num w:numId="48" w16cid:durableId="49882736">
    <w:abstractNumId w:val="43"/>
  </w:num>
  <w:num w:numId="49" w16cid:durableId="749424918">
    <w:abstractNumId w:val="81"/>
  </w:num>
  <w:num w:numId="50" w16cid:durableId="351305233">
    <w:abstractNumId w:val="29"/>
  </w:num>
  <w:num w:numId="51" w16cid:durableId="2141918983">
    <w:abstractNumId w:val="22"/>
  </w:num>
  <w:num w:numId="52" w16cid:durableId="2018117002">
    <w:abstractNumId w:val="25"/>
  </w:num>
  <w:num w:numId="53" w16cid:durableId="291324115">
    <w:abstractNumId w:val="55"/>
  </w:num>
  <w:num w:numId="54" w16cid:durableId="1799448085">
    <w:abstractNumId w:val="73"/>
  </w:num>
  <w:num w:numId="55" w16cid:durableId="463668016">
    <w:abstractNumId w:val="66"/>
  </w:num>
  <w:num w:numId="56" w16cid:durableId="1997105538">
    <w:abstractNumId w:val="47"/>
  </w:num>
  <w:num w:numId="57" w16cid:durableId="965549377">
    <w:abstractNumId w:val="76"/>
  </w:num>
  <w:num w:numId="58" w16cid:durableId="38669279">
    <w:abstractNumId w:val="16"/>
  </w:num>
  <w:num w:numId="59" w16cid:durableId="1349714082">
    <w:abstractNumId w:val="59"/>
  </w:num>
  <w:num w:numId="60" w16cid:durableId="735905483">
    <w:abstractNumId w:val="56"/>
  </w:num>
  <w:num w:numId="61" w16cid:durableId="749082821">
    <w:abstractNumId w:val="38"/>
  </w:num>
  <w:num w:numId="62" w16cid:durableId="1025012730">
    <w:abstractNumId w:val="10"/>
  </w:num>
  <w:num w:numId="63" w16cid:durableId="1496607560">
    <w:abstractNumId w:val="42"/>
  </w:num>
  <w:num w:numId="64" w16cid:durableId="1776901223">
    <w:abstractNumId w:val="35"/>
  </w:num>
  <w:num w:numId="65" w16cid:durableId="284581932">
    <w:abstractNumId w:val="54"/>
  </w:num>
  <w:num w:numId="66" w16cid:durableId="367027988">
    <w:abstractNumId w:val="51"/>
  </w:num>
  <w:num w:numId="67" w16cid:durableId="1409307424">
    <w:abstractNumId w:val="17"/>
  </w:num>
  <w:num w:numId="68" w16cid:durableId="1999528796">
    <w:abstractNumId w:val="11"/>
  </w:num>
  <w:num w:numId="69" w16cid:durableId="1645889120">
    <w:abstractNumId w:val="28"/>
  </w:num>
  <w:num w:numId="70" w16cid:durableId="1767649369">
    <w:abstractNumId w:val="14"/>
  </w:num>
  <w:num w:numId="71" w16cid:durableId="818034850">
    <w:abstractNumId w:val="13"/>
  </w:num>
  <w:num w:numId="72" w16cid:durableId="1330791886">
    <w:abstractNumId w:val="31"/>
  </w:num>
  <w:num w:numId="73" w16cid:durableId="1603295543">
    <w:abstractNumId w:val="18"/>
  </w:num>
  <w:num w:numId="74" w16cid:durableId="1568303498">
    <w:abstractNumId w:val="27"/>
  </w:num>
  <w:num w:numId="75" w16cid:durableId="107507505">
    <w:abstractNumId w:val="69"/>
  </w:num>
  <w:num w:numId="76" w16cid:durableId="1314330107">
    <w:abstractNumId w:val="74"/>
  </w:num>
  <w:num w:numId="77" w16cid:durableId="1278179100">
    <w:abstractNumId w:val="45"/>
  </w:num>
  <w:num w:numId="78" w16cid:durableId="1475440592">
    <w:abstractNumId w:val="53"/>
  </w:num>
  <w:num w:numId="79" w16cid:durableId="572588627">
    <w:abstractNumId w:val="68"/>
  </w:num>
  <w:num w:numId="80" w16cid:durableId="1603494346">
    <w:abstractNumId w:val="57"/>
  </w:num>
  <w:num w:numId="81" w16cid:durableId="437483292">
    <w:abstractNumId w:val="40"/>
  </w:num>
  <w:num w:numId="82" w16cid:durableId="315570348">
    <w:abstractNumId w:val="6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603"/>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4D6"/>
    <w:rsid w:val="00066766"/>
    <w:rsid w:val="0006743B"/>
    <w:rsid w:val="0007009E"/>
    <w:rsid w:val="00070E4D"/>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334"/>
    <w:rsid w:val="000B2E39"/>
    <w:rsid w:val="000B368D"/>
    <w:rsid w:val="000B393C"/>
    <w:rsid w:val="000B3BE0"/>
    <w:rsid w:val="000B4903"/>
    <w:rsid w:val="000B53A4"/>
    <w:rsid w:val="000B57AE"/>
    <w:rsid w:val="000B59FE"/>
    <w:rsid w:val="000B798F"/>
    <w:rsid w:val="000B7BCF"/>
    <w:rsid w:val="000C0473"/>
    <w:rsid w:val="000C04D0"/>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6"/>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7688"/>
    <w:rsid w:val="000F78E9"/>
    <w:rsid w:val="00100A2F"/>
    <w:rsid w:val="00101610"/>
    <w:rsid w:val="00101E5C"/>
    <w:rsid w:val="00101FC7"/>
    <w:rsid w:val="001022CC"/>
    <w:rsid w:val="001038BB"/>
    <w:rsid w:val="00103C0F"/>
    <w:rsid w:val="00104A2C"/>
    <w:rsid w:val="00105921"/>
    <w:rsid w:val="00105DBA"/>
    <w:rsid w:val="00106838"/>
    <w:rsid w:val="00106A79"/>
    <w:rsid w:val="0010753D"/>
    <w:rsid w:val="001078F0"/>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810"/>
    <w:rsid w:val="00123990"/>
    <w:rsid w:val="00124F4F"/>
    <w:rsid w:val="001252D3"/>
    <w:rsid w:val="00125D2A"/>
    <w:rsid w:val="0012637C"/>
    <w:rsid w:val="0012647B"/>
    <w:rsid w:val="00126917"/>
    <w:rsid w:val="00126A14"/>
    <w:rsid w:val="001275A4"/>
    <w:rsid w:val="00130ECD"/>
    <w:rsid w:val="00131FE1"/>
    <w:rsid w:val="00132727"/>
    <w:rsid w:val="0013309E"/>
    <w:rsid w:val="001333CE"/>
    <w:rsid w:val="00133EA9"/>
    <w:rsid w:val="00133EED"/>
    <w:rsid w:val="00134195"/>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47749"/>
    <w:rsid w:val="001504D5"/>
    <w:rsid w:val="00151ACF"/>
    <w:rsid w:val="00153412"/>
    <w:rsid w:val="00154400"/>
    <w:rsid w:val="00154C37"/>
    <w:rsid w:val="00154F10"/>
    <w:rsid w:val="00155EB5"/>
    <w:rsid w:val="00155F61"/>
    <w:rsid w:val="00156EE9"/>
    <w:rsid w:val="00157043"/>
    <w:rsid w:val="00157259"/>
    <w:rsid w:val="00157278"/>
    <w:rsid w:val="0015789E"/>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107"/>
    <w:rsid w:val="001741A0"/>
    <w:rsid w:val="0017483B"/>
    <w:rsid w:val="00174BCA"/>
    <w:rsid w:val="001757A1"/>
    <w:rsid w:val="00175DC8"/>
    <w:rsid w:val="00175FA0"/>
    <w:rsid w:val="00176227"/>
    <w:rsid w:val="00177F10"/>
    <w:rsid w:val="0018078B"/>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10"/>
    <w:rsid w:val="00194CD0"/>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2498"/>
    <w:rsid w:val="001B2F44"/>
    <w:rsid w:val="001B387E"/>
    <w:rsid w:val="001B49C9"/>
    <w:rsid w:val="001B4C7B"/>
    <w:rsid w:val="001B518B"/>
    <w:rsid w:val="001B634F"/>
    <w:rsid w:val="001B6440"/>
    <w:rsid w:val="001B6625"/>
    <w:rsid w:val="001B6B7D"/>
    <w:rsid w:val="001B6BBF"/>
    <w:rsid w:val="001B7642"/>
    <w:rsid w:val="001C1A03"/>
    <w:rsid w:val="001C27AE"/>
    <w:rsid w:val="001C2892"/>
    <w:rsid w:val="001C3062"/>
    <w:rsid w:val="001C3088"/>
    <w:rsid w:val="001C3118"/>
    <w:rsid w:val="001C31CF"/>
    <w:rsid w:val="001C36CF"/>
    <w:rsid w:val="001C4F79"/>
    <w:rsid w:val="001C6D48"/>
    <w:rsid w:val="001C721F"/>
    <w:rsid w:val="001C7671"/>
    <w:rsid w:val="001C779E"/>
    <w:rsid w:val="001D0A10"/>
    <w:rsid w:val="001D21F1"/>
    <w:rsid w:val="001D2DEC"/>
    <w:rsid w:val="001D2E7E"/>
    <w:rsid w:val="001D303A"/>
    <w:rsid w:val="001D30B9"/>
    <w:rsid w:val="001D348B"/>
    <w:rsid w:val="001D3D35"/>
    <w:rsid w:val="001D3EA1"/>
    <w:rsid w:val="001D499A"/>
    <w:rsid w:val="001D5164"/>
    <w:rsid w:val="001D7278"/>
    <w:rsid w:val="001D7814"/>
    <w:rsid w:val="001D78B9"/>
    <w:rsid w:val="001E01D3"/>
    <w:rsid w:val="001E2E75"/>
    <w:rsid w:val="001E3B5B"/>
    <w:rsid w:val="001E42BE"/>
    <w:rsid w:val="001E4609"/>
    <w:rsid w:val="001E4CF9"/>
    <w:rsid w:val="001E5647"/>
    <w:rsid w:val="001E59C7"/>
    <w:rsid w:val="001E5F8A"/>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367"/>
    <w:rsid w:val="00215057"/>
    <w:rsid w:val="002157E3"/>
    <w:rsid w:val="0021587C"/>
    <w:rsid w:val="00215A4C"/>
    <w:rsid w:val="00216496"/>
    <w:rsid w:val="0021720E"/>
    <w:rsid w:val="00217843"/>
    <w:rsid w:val="00217BFA"/>
    <w:rsid w:val="002200BB"/>
    <w:rsid w:val="00220322"/>
    <w:rsid w:val="00220B0B"/>
    <w:rsid w:val="00220F5E"/>
    <w:rsid w:val="00220F6F"/>
    <w:rsid w:val="00221D20"/>
    <w:rsid w:val="00222729"/>
    <w:rsid w:val="00222956"/>
    <w:rsid w:val="00222B65"/>
    <w:rsid w:val="00222B69"/>
    <w:rsid w:val="00223665"/>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37CFD"/>
    <w:rsid w:val="00240615"/>
    <w:rsid w:val="00240D3D"/>
    <w:rsid w:val="002420EF"/>
    <w:rsid w:val="00242348"/>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4CBD"/>
    <w:rsid w:val="00255190"/>
    <w:rsid w:val="002558C5"/>
    <w:rsid w:val="002569EE"/>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5B18"/>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377"/>
    <w:rsid w:val="002B142F"/>
    <w:rsid w:val="002B1F3E"/>
    <w:rsid w:val="002B2578"/>
    <w:rsid w:val="002B662C"/>
    <w:rsid w:val="002B6D85"/>
    <w:rsid w:val="002B6FB4"/>
    <w:rsid w:val="002B6FED"/>
    <w:rsid w:val="002B787C"/>
    <w:rsid w:val="002B7D3A"/>
    <w:rsid w:val="002C05B6"/>
    <w:rsid w:val="002C1430"/>
    <w:rsid w:val="002C1D5A"/>
    <w:rsid w:val="002C20CB"/>
    <w:rsid w:val="002C2613"/>
    <w:rsid w:val="002C30AA"/>
    <w:rsid w:val="002C3321"/>
    <w:rsid w:val="002C3C6A"/>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7D5"/>
    <w:rsid w:val="002F31C2"/>
    <w:rsid w:val="002F3D74"/>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B3F"/>
    <w:rsid w:val="00312C4E"/>
    <w:rsid w:val="00312F9E"/>
    <w:rsid w:val="00312FFD"/>
    <w:rsid w:val="00313363"/>
    <w:rsid w:val="00314608"/>
    <w:rsid w:val="00315A4C"/>
    <w:rsid w:val="00315BDB"/>
    <w:rsid w:val="00315E31"/>
    <w:rsid w:val="003169B1"/>
    <w:rsid w:val="003172DC"/>
    <w:rsid w:val="003173C8"/>
    <w:rsid w:val="0031756E"/>
    <w:rsid w:val="00317F7B"/>
    <w:rsid w:val="0032157D"/>
    <w:rsid w:val="00321659"/>
    <w:rsid w:val="00321DB1"/>
    <w:rsid w:val="00323664"/>
    <w:rsid w:val="00324329"/>
    <w:rsid w:val="0032438D"/>
    <w:rsid w:val="0032536A"/>
    <w:rsid w:val="00325525"/>
    <w:rsid w:val="00325AE3"/>
    <w:rsid w:val="00325C9C"/>
    <w:rsid w:val="00325FC9"/>
    <w:rsid w:val="00326069"/>
    <w:rsid w:val="00326331"/>
    <w:rsid w:val="00326460"/>
    <w:rsid w:val="00326AE1"/>
    <w:rsid w:val="00327367"/>
    <w:rsid w:val="00327C14"/>
    <w:rsid w:val="003306C2"/>
    <w:rsid w:val="00331A61"/>
    <w:rsid w:val="00331BA1"/>
    <w:rsid w:val="00331BDB"/>
    <w:rsid w:val="00333504"/>
    <w:rsid w:val="0033379A"/>
    <w:rsid w:val="00333980"/>
    <w:rsid w:val="00334340"/>
    <w:rsid w:val="00334558"/>
    <w:rsid w:val="00335335"/>
    <w:rsid w:val="00335FDB"/>
    <w:rsid w:val="00336889"/>
    <w:rsid w:val="00336947"/>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536D"/>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529B"/>
    <w:rsid w:val="0038602D"/>
    <w:rsid w:val="0038631D"/>
    <w:rsid w:val="00386BE1"/>
    <w:rsid w:val="003875D3"/>
    <w:rsid w:val="0039039F"/>
    <w:rsid w:val="003903EE"/>
    <w:rsid w:val="00390A77"/>
    <w:rsid w:val="003912C4"/>
    <w:rsid w:val="003918F6"/>
    <w:rsid w:val="003928A8"/>
    <w:rsid w:val="00393095"/>
    <w:rsid w:val="00393A12"/>
    <w:rsid w:val="00394302"/>
    <w:rsid w:val="00395022"/>
    <w:rsid w:val="00395BC6"/>
    <w:rsid w:val="0039657B"/>
    <w:rsid w:val="00397141"/>
    <w:rsid w:val="0039716F"/>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8CE"/>
    <w:rsid w:val="003A7CC2"/>
    <w:rsid w:val="003B183B"/>
    <w:rsid w:val="003B19E6"/>
    <w:rsid w:val="003B1AFE"/>
    <w:rsid w:val="003B1BBD"/>
    <w:rsid w:val="003B1FC3"/>
    <w:rsid w:val="003B21E7"/>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6FF"/>
    <w:rsid w:val="003C6F79"/>
    <w:rsid w:val="003C75DD"/>
    <w:rsid w:val="003C7E84"/>
    <w:rsid w:val="003D119B"/>
    <w:rsid w:val="003D1C67"/>
    <w:rsid w:val="003D227D"/>
    <w:rsid w:val="003D2847"/>
    <w:rsid w:val="003D36A3"/>
    <w:rsid w:val="003D5281"/>
    <w:rsid w:val="003D5687"/>
    <w:rsid w:val="003D5BAA"/>
    <w:rsid w:val="003D62A9"/>
    <w:rsid w:val="003D6698"/>
    <w:rsid w:val="003D7455"/>
    <w:rsid w:val="003D75BF"/>
    <w:rsid w:val="003D7853"/>
    <w:rsid w:val="003D7B5C"/>
    <w:rsid w:val="003E16BE"/>
    <w:rsid w:val="003E18B4"/>
    <w:rsid w:val="003E1993"/>
    <w:rsid w:val="003E214D"/>
    <w:rsid w:val="003E283E"/>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262"/>
    <w:rsid w:val="00410F52"/>
    <w:rsid w:val="00410FE8"/>
    <w:rsid w:val="00411A48"/>
    <w:rsid w:val="00411E9E"/>
    <w:rsid w:val="0041221A"/>
    <w:rsid w:val="00412344"/>
    <w:rsid w:val="00412A4C"/>
    <w:rsid w:val="00413429"/>
    <w:rsid w:val="00413697"/>
    <w:rsid w:val="004136F8"/>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30FA"/>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90C"/>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5C81"/>
    <w:rsid w:val="004A74BD"/>
    <w:rsid w:val="004B0B14"/>
    <w:rsid w:val="004B0DF5"/>
    <w:rsid w:val="004B12F8"/>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1F"/>
    <w:rsid w:val="004D0832"/>
    <w:rsid w:val="004D08C8"/>
    <w:rsid w:val="004D0C5F"/>
    <w:rsid w:val="004D126B"/>
    <w:rsid w:val="004D150A"/>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A4"/>
    <w:rsid w:val="004F05DD"/>
    <w:rsid w:val="004F120C"/>
    <w:rsid w:val="004F16D1"/>
    <w:rsid w:val="004F176A"/>
    <w:rsid w:val="004F21C0"/>
    <w:rsid w:val="004F2555"/>
    <w:rsid w:val="004F2691"/>
    <w:rsid w:val="004F4A23"/>
    <w:rsid w:val="004F5AD2"/>
    <w:rsid w:val="004F5FFC"/>
    <w:rsid w:val="004F6020"/>
    <w:rsid w:val="004F6566"/>
    <w:rsid w:val="004F6CE8"/>
    <w:rsid w:val="005001E2"/>
    <w:rsid w:val="0050037A"/>
    <w:rsid w:val="005006FB"/>
    <w:rsid w:val="00500C6B"/>
    <w:rsid w:val="00500FD9"/>
    <w:rsid w:val="00501279"/>
    <w:rsid w:val="00503171"/>
    <w:rsid w:val="00503781"/>
    <w:rsid w:val="00503A77"/>
    <w:rsid w:val="00503A87"/>
    <w:rsid w:val="00503F50"/>
    <w:rsid w:val="00504D68"/>
    <w:rsid w:val="0050551C"/>
    <w:rsid w:val="0050553B"/>
    <w:rsid w:val="00505B4A"/>
    <w:rsid w:val="00505E5D"/>
    <w:rsid w:val="00505F86"/>
    <w:rsid w:val="00506158"/>
    <w:rsid w:val="00506730"/>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FA9"/>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965"/>
    <w:rsid w:val="00531ABE"/>
    <w:rsid w:val="00531D1A"/>
    <w:rsid w:val="005326DB"/>
    <w:rsid w:val="00533DB6"/>
    <w:rsid w:val="00534627"/>
    <w:rsid w:val="00534666"/>
    <w:rsid w:val="00534DA0"/>
    <w:rsid w:val="00535659"/>
    <w:rsid w:val="00536043"/>
    <w:rsid w:val="0053638C"/>
    <w:rsid w:val="005363EF"/>
    <w:rsid w:val="00537546"/>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E87"/>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6FA"/>
    <w:rsid w:val="0056573F"/>
    <w:rsid w:val="00565E14"/>
    <w:rsid w:val="005669E2"/>
    <w:rsid w:val="00567B7A"/>
    <w:rsid w:val="005719CC"/>
    <w:rsid w:val="0057318B"/>
    <w:rsid w:val="00573535"/>
    <w:rsid w:val="00574C12"/>
    <w:rsid w:val="00574CD1"/>
    <w:rsid w:val="00575515"/>
    <w:rsid w:val="00575589"/>
    <w:rsid w:val="00576321"/>
    <w:rsid w:val="005765BB"/>
    <w:rsid w:val="00576BC2"/>
    <w:rsid w:val="00577A45"/>
    <w:rsid w:val="0058017C"/>
    <w:rsid w:val="0058067B"/>
    <w:rsid w:val="005807EC"/>
    <w:rsid w:val="0058138C"/>
    <w:rsid w:val="00582C9E"/>
    <w:rsid w:val="00582F8A"/>
    <w:rsid w:val="00583A3E"/>
    <w:rsid w:val="00583F33"/>
    <w:rsid w:val="00584F2F"/>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4FF6"/>
    <w:rsid w:val="005A524B"/>
    <w:rsid w:val="005A52E9"/>
    <w:rsid w:val="005A5566"/>
    <w:rsid w:val="005A631C"/>
    <w:rsid w:val="005A6F32"/>
    <w:rsid w:val="005B0E08"/>
    <w:rsid w:val="005B164A"/>
    <w:rsid w:val="005B1711"/>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A6B"/>
    <w:rsid w:val="005C4F65"/>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37FB"/>
    <w:rsid w:val="005D4243"/>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33F"/>
    <w:rsid w:val="005E4E09"/>
    <w:rsid w:val="005E5019"/>
    <w:rsid w:val="005E59DB"/>
    <w:rsid w:val="005E6380"/>
    <w:rsid w:val="005E6680"/>
    <w:rsid w:val="005E6882"/>
    <w:rsid w:val="005E734E"/>
    <w:rsid w:val="005E7AFE"/>
    <w:rsid w:val="005F0CC5"/>
    <w:rsid w:val="005F17DE"/>
    <w:rsid w:val="005F1F32"/>
    <w:rsid w:val="005F253A"/>
    <w:rsid w:val="005F2FB5"/>
    <w:rsid w:val="005F52F4"/>
    <w:rsid w:val="005F5340"/>
    <w:rsid w:val="005F5A1A"/>
    <w:rsid w:val="005F7589"/>
    <w:rsid w:val="0060010C"/>
    <w:rsid w:val="0060025D"/>
    <w:rsid w:val="006006D3"/>
    <w:rsid w:val="00600759"/>
    <w:rsid w:val="006024B2"/>
    <w:rsid w:val="00602905"/>
    <w:rsid w:val="00602AA9"/>
    <w:rsid w:val="0060330F"/>
    <w:rsid w:val="006035DC"/>
    <w:rsid w:val="0060363E"/>
    <w:rsid w:val="00604826"/>
    <w:rsid w:val="006055D7"/>
    <w:rsid w:val="00605FAF"/>
    <w:rsid w:val="006060C6"/>
    <w:rsid w:val="006060FC"/>
    <w:rsid w:val="006070A8"/>
    <w:rsid w:val="006074B6"/>
    <w:rsid w:val="00607BCF"/>
    <w:rsid w:val="00607BE1"/>
    <w:rsid w:val="00607F28"/>
    <w:rsid w:val="00611187"/>
    <w:rsid w:val="00611566"/>
    <w:rsid w:val="0061178E"/>
    <w:rsid w:val="006118BB"/>
    <w:rsid w:val="00611ECE"/>
    <w:rsid w:val="00612CE6"/>
    <w:rsid w:val="00612EDA"/>
    <w:rsid w:val="00612FB5"/>
    <w:rsid w:val="0061317F"/>
    <w:rsid w:val="00613EA6"/>
    <w:rsid w:val="00614018"/>
    <w:rsid w:val="00614828"/>
    <w:rsid w:val="00615E67"/>
    <w:rsid w:val="00616AFF"/>
    <w:rsid w:val="00616F59"/>
    <w:rsid w:val="0061737E"/>
    <w:rsid w:val="00617CD8"/>
    <w:rsid w:val="006207E7"/>
    <w:rsid w:val="006215AF"/>
    <w:rsid w:val="00621640"/>
    <w:rsid w:val="00621978"/>
    <w:rsid w:val="00621A75"/>
    <w:rsid w:val="00621BBB"/>
    <w:rsid w:val="00622986"/>
    <w:rsid w:val="006234F7"/>
    <w:rsid w:val="006236BA"/>
    <w:rsid w:val="00623DBE"/>
    <w:rsid w:val="00624DEA"/>
    <w:rsid w:val="00624E0A"/>
    <w:rsid w:val="00624FCB"/>
    <w:rsid w:val="00625020"/>
    <w:rsid w:val="0062586E"/>
    <w:rsid w:val="00625C61"/>
    <w:rsid w:val="00625CF7"/>
    <w:rsid w:val="006302AC"/>
    <w:rsid w:val="0063210B"/>
    <w:rsid w:val="00632295"/>
    <w:rsid w:val="006336A7"/>
    <w:rsid w:val="00634A8A"/>
    <w:rsid w:val="00634EBF"/>
    <w:rsid w:val="00635926"/>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0966"/>
    <w:rsid w:val="00680FE4"/>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C4D"/>
    <w:rsid w:val="006A6EB7"/>
    <w:rsid w:val="006A741D"/>
    <w:rsid w:val="006A79AB"/>
    <w:rsid w:val="006B0789"/>
    <w:rsid w:val="006B090F"/>
    <w:rsid w:val="006B1438"/>
    <w:rsid w:val="006B1A7C"/>
    <w:rsid w:val="006B2247"/>
    <w:rsid w:val="006B37E3"/>
    <w:rsid w:val="006B3966"/>
    <w:rsid w:val="006B3E04"/>
    <w:rsid w:val="006B474B"/>
    <w:rsid w:val="006B5B90"/>
    <w:rsid w:val="006B5C5D"/>
    <w:rsid w:val="006B646C"/>
    <w:rsid w:val="006B6E53"/>
    <w:rsid w:val="006B7C5B"/>
    <w:rsid w:val="006B7D86"/>
    <w:rsid w:val="006C0184"/>
    <w:rsid w:val="006C0A72"/>
    <w:rsid w:val="006C1094"/>
    <w:rsid w:val="006C176C"/>
    <w:rsid w:val="006C198B"/>
    <w:rsid w:val="006C1D49"/>
    <w:rsid w:val="006C4396"/>
    <w:rsid w:val="006C4466"/>
    <w:rsid w:val="006C5141"/>
    <w:rsid w:val="006C53F5"/>
    <w:rsid w:val="006C5F4C"/>
    <w:rsid w:val="006C653F"/>
    <w:rsid w:val="006C66D8"/>
    <w:rsid w:val="006C6E8C"/>
    <w:rsid w:val="006C725E"/>
    <w:rsid w:val="006C77D3"/>
    <w:rsid w:val="006C78EF"/>
    <w:rsid w:val="006C7C10"/>
    <w:rsid w:val="006C7DDC"/>
    <w:rsid w:val="006D06D2"/>
    <w:rsid w:val="006D08D9"/>
    <w:rsid w:val="006D0C49"/>
    <w:rsid w:val="006D0F06"/>
    <w:rsid w:val="006D166F"/>
    <w:rsid w:val="006D17C9"/>
    <w:rsid w:val="006D1AF0"/>
    <w:rsid w:val="006D1E24"/>
    <w:rsid w:val="006D2571"/>
    <w:rsid w:val="006D26D3"/>
    <w:rsid w:val="006D2919"/>
    <w:rsid w:val="006D2BB8"/>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4604"/>
    <w:rsid w:val="006F4DE5"/>
    <w:rsid w:val="006F5823"/>
    <w:rsid w:val="006F6A2C"/>
    <w:rsid w:val="0070067E"/>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0AD6"/>
    <w:rsid w:val="007110CC"/>
    <w:rsid w:val="00711C88"/>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4C1"/>
    <w:rsid w:val="00752758"/>
    <w:rsid w:val="00754823"/>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0DD8"/>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B0D"/>
    <w:rsid w:val="007B0D4D"/>
    <w:rsid w:val="007B16F9"/>
    <w:rsid w:val="007B18D8"/>
    <w:rsid w:val="007B1A79"/>
    <w:rsid w:val="007B289B"/>
    <w:rsid w:val="007B2922"/>
    <w:rsid w:val="007B2A34"/>
    <w:rsid w:val="007B2B75"/>
    <w:rsid w:val="007B3029"/>
    <w:rsid w:val="007B30E3"/>
    <w:rsid w:val="007B3A53"/>
    <w:rsid w:val="007B3C9E"/>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244"/>
    <w:rsid w:val="008032AD"/>
    <w:rsid w:val="00803AAF"/>
    <w:rsid w:val="0080405F"/>
    <w:rsid w:val="008040CF"/>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39A"/>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6B50"/>
    <w:rsid w:val="00896D8E"/>
    <w:rsid w:val="008973CF"/>
    <w:rsid w:val="00897A46"/>
    <w:rsid w:val="00897E3D"/>
    <w:rsid w:val="008A022A"/>
    <w:rsid w:val="008A0B7C"/>
    <w:rsid w:val="008A0BB7"/>
    <w:rsid w:val="008A104D"/>
    <w:rsid w:val="008A1476"/>
    <w:rsid w:val="008A15DB"/>
    <w:rsid w:val="008A2964"/>
    <w:rsid w:val="008A421E"/>
    <w:rsid w:val="008A4625"/>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1D3"/>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C8A"/>
    <w:rsid w:val="008D4E71"/>
    <w:rsid w:val="008D4EAB"/>
    <w:rsid w:val="008D61DA"/>
    <w:rsid w:val="008D648D"/>
    <w:rsid w:val="008D6F33"/>
    <w:rsid w:val="008D7290"/>
    <w:rsid w:val="008D799D"/>
    <w:rsid w:val="008D79C5"/>
    <w:rsid w:val="008D7B30"/>
    <w:rsid w:val="008D7FB2"/>
    <w:rsid w:val="008E1580"/>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56D"/>
    <w:rsid w:val="008F5724"/>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62A7"/>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54B"/>
    <w:rsid w:val="009351DC"/>
    <w:rsid w:val="0093526E"/>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3710"/>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7FA"/>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3C21"/>
    <w:rsid w:val="00984176"/>
    <w:rsid w:val="0098422A"/>
    <w:rsid w:val="009852C6"/>
    <w:rsid w:val="00985761"/>
    <w:rsid w:val="00986773"/>
    <w:rsid w:val="009905F3"/>
    <w:rsid w:val="009906E1"/>
    <w:rsid w:val="00992B88"/>
    <w:rsid w:val="00992E7F"/>
    <w:rsid w:val="00993BDC"/>
    <w:rsid w:val="009948E7"/>
    <w:rsid w:val="00994995"/>
    <w:rsid w:val="00996610"/>
    <w:rsid w:val="009971F3"/>
    <w:rsid w:val="0099763A"/>
    <w:rsid w:val="00997E17"/>
    <w:rsid w:val="009A039A"/>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B707A"/>
    <w:rsid w:val="009C09F5"/>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4B9"/>
    <w:rsid w:val="009D1537"/>
    <w:rsid w:val="009D3B76"/>
    <w:rsid w:val="009D3D90"/>
    <w:rsid w:val="009D3E24"/>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949"/>
    <w:rsid w:val="00A1602E"/>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0C5"/>
    <w:rsid w:val="00A552E5"/>
    <w:rsid w:val="00A560F0"/>
    <w:rsid w:val="00A563D6"/>
    <w:rsid w:val="00A56D65"/>
    <w:rsid w:val="00A56D8B"/>
    <w:rsid w:val="00A579FD"/>
    <w:rsid w:val="00A57A08"/>
    <w:rsid w:val="00A6283C"/>
    <w:rsid w:val="00A640C7"/>
    <w:rsid w:val="00A644C1"/>
    <w:rsid w:val="00A644E0"/>
    <w:rsid w:val="00A65146"/>
    <w:rsid w:val="00A65DE5"/>
    <w:rsid w:val="00A66691"/>
    <w:rsid w:val="00A70AEA"/>
    <w:rsid w:val="00A70EFF"/>
    <w:rsid w:val="00A7152A"/>
    <w:rsid w:val="00A71D48"/>
    <w:rsid w:val="00A72A47"/>
    <w:rsid w:val="00A72DEE"/>
    <w:rsid w:val="00A733AE"/>
    <w:rsid w:val="00A74903"/>
    <w:rsid w:val="00A74FA3"/>
    <w:rsid w:val="00A75007"/>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4BF5"/>
    <w:rsid w:val="00A954D1"/>
    <w:rsid w:val="00A959AD"/>
    <w:rsid w:val="00A95C2C"/>
    <w:rsid w:val="00A95E8D"/>
    <w:rsid w:val="00A9671C"/>
    <w:rsid w:val="00A96A50"/>
    <w:rsid w:val="00A96B5F"/>
    <w:rsid w:val="00A97492"/>
    <w:rsid w:val="00AA06BD"/>
    <w:rsid w:val="00AA1029"/>
    <w:rsid w:val="00AA1553"/>
    <w:rsid w:val="00AA1CA0"/>
    <w:rsid w:val="00AA1ECA"/>
    <w:rsid w:val="00AA3382"/>
    <w:rsid w:val="00AA381F"/>
    <w:rsid w:val="00AA3BAB"/>
    <w:rsid w:val="00AA427E"/>
    <w:rsid w:val="00AA494E"/>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924"/>
    <w:rsid w:val="00B069C6"/>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2D2"/>
    <w:rsid w:val="00B254EB"/>
    <w:rsid w:val="00B2557B"/>
    <w:rsid w:val="00B268BB"/>
    <w:rsid w:val="00B26AC0"/>
    <w:rsid w:val="00B27303"/>
    <w:rsid w:val="00B27849"/>
    <w:rsid w:val="00B2791E"/>
    <w:rsid w:val="00B27A55"/>
    <w:rsid w:val="00B27DD8"/>
    <w:rsid w:val="00B30050"/>
    <w:rsid w:val="00B30D26"/>
    <w:rsid w:val="00B3111F"/>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B33"/>
    <w:rsid w:val="00B47FD1"/>
    <w:rsid w:val="00B50105"/>
    <w:rsid w:val="00B51623"/>
    <w:rsid w:val="00B516BB"/>
    <w:rsid w:val="00B52309"/>
    <w:rsid w:val="00B5284F"/>
    <w:rsid w:val="00B52EAE"/>
    <w:rsid w:val="00B5384A"/>
    <w:rsid w:val="00B53D13"/>
    <w:rsid w:val="00B54193"/>
    <w:rsid w:val="00B54239"/>
    <w:rsid w:val="00B5444A"/>
    <w:rsid w:val="00B54D5B"/>
    <w:rsid w:val="00B60289"/>
    <w:rsid w:val="00B614CC"/>
    <w:rsid w:val="00B6195D"/>
    <w:rsid w:val="00B61E3A"/>
    <w:rsid w:val="00B628F2"/>
    <w:rsid w:val="00B6344D"/>
    <w:rsid w:val="00B6384E"/>
    <w:rsid w:val="00B64260"/>
    <w:rsid w:val="00B64724"/>
    <w:rsid w:val="00B64B76"/>
    <w:rsid w:val="00B67FC3"/>
    <w:rsid w:val="00B716E8"/>
    <w:rsid w:val="00B735BA"/>
    <w:rsid w:val="00B735ED"/>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85A"/>
    <w:rsid w:val="00B86973"/>
    <w:rsid w:val="00B878D2"/>
    <w:rsid w:val="00B905BE"/>
    <w:rsid w:val="00B915C6"/>
    <w:rsid w:val="00B9252A"/>
    <w:rsid w:val="00B92BDF"/>
    <w:rsid w:val="00B93013"/>
    <w:rsid w:val="00B938A0"/>
    <w:rsid w:val="00B943D8"/>
    <w:rsid w:val="00B948B1"/>
    <w:rsid w:val="00B94DE9"/>
    <w:rsid w:val="00B9570C"/>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10"/>
    <w:rsid w:val="00BB33C4"/>
    <w:rsid w:val="00BB38DD"/>
    <w:rsid w:val="00BB4A4B"/>
    <w:rsid w:val="00BB51D8"/>
    <w:rsid w:val="00BB5CE3"/>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2DD1"/>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4F8"/>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C13"/>
    <w:rsid w:val="00C16D2D"/>
    <w:rsid w:val="00C173E0"/>
    <w:rsid w:val="00C1761A"/>
    <w:rsid w:val="00C17935"/>
    <w:rsid w:val="00C21297"/>
    <w:rsid w:val="00C21B93"/>
    <w:rsid w:val="00C23A93"/>
    <w:rsid w:val="00C24650"/>
    <w:rsid w:val="00C25583"/>
    <w:rsid w:val="00C2584A"/>
    <w:rsid w:val="00C261EE"/>
    <w:rsid w:val="00C276E9"/>
    <w:rsid w:val="00C27992"/>
    <w:rsid w:val="00C30CAF"/>
    <w:rsid w:val="00C3101C"/>
    <w:rsid w:val="00C316E9"/>
    <w:rsid w:val="00C31A06"/>
    <w:rsid w:val="00C326FE"/>
    <w:rsid w:val="00C32DF5"/>
    <w:rsid w:val="00C33079"/>
    <w:rsid w:val="00C34103"/>
    <w:rsid w:val="00C34272"/>
    <w:rsid w:val="00C3441D"/>
    <w:rsid w:val="00C347BA"/>
    <w:rsid w:val="00C34E16"/>
    <w:rsid w:val="00C34EFD"/>
    <w:rsid w:val="00C35475"/>
    <w:rsid w:val="00C3564A"/>
    <w:rsid w:val="00C36E7F"/>
    <w:rsid w:val="00C36F6D"/>
    <w:rsid w:val="00C375C6"/>
    <w:rsid w:val="00C377E7"/>
    <w:rsid w:val="00C379A0"/>
    <w:rsid w:val="00C37B4F"/>
    <w:rsid w:val="00C4054A"/>
    <w:rsid w:val="00C40630"/>
    <w:rsid w:val="00C41CF1"/>
    <w:rsid w:val="00C42D1C"/>
    <w:rsid w:val="00C42DC8"/>
    <w:rsid w:val="00C42F8E"/>
    <w:rsid w:val="00C43124"/>
    <w:rsid w:val="00C437A5"/>
    <w:rsid w:val="00C44001"/>
    <w:rsid w:val="00C443BB"/>
    <w:rsid w:val="00C44E98"/>
    <w:rsid w:val="00C47496"/>
    <w:rsid w:val="00C47C47"/>
    <w:rsid w:val="00C47DE9"/>
    <w:rsid w:val="00C507A2"/>
    <w:rsid w:val="00C50BB4"/>
    <w:rsid w:val="00C50C9F"/>
    <w:rsid w:val="00C50FAA"/>
    <w:rsid w:val="00C51775"/>
    <w:rsid w:val="00C51B16"/>
    <w:rsid w:val="00C53ED0"/>
    <w:rsid w:val="00C55F66"/>
    <w:rsid w:val="00C56412"/>
    <w:rsid w:val="00C56BDB"/>
    <w:rsid w:val="00C56DE4"/>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035B"/>
    <w:rsid w:val="00C71277"/>
    <w:rsid w:val="00C71582"/>
    <w:rsid w:val="00C7196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ED6"/>
    <w:rsid w:val="00CA0EB8"/>
    <w:rsid w:val="00CA234F"/>
    <w:rsid w:val="00CA332F"/>
    <w:rsid w:val="00CA36C6"/>
    <w:rsid w:val="00CA38C8"/>
    <w:rsid w:val="00CA3D0C"/>
    <w:rsid w:val="00CA46A9"/>
    <w:rsid w:val="00CA497D"/>
    <w:rsid w:val="00CA4F70"/>
    <w:rsid w:val="00CA5416"/>
    <w:rsid w:val="00CA5F20"/>
    <w:rsid w:val="00CA60BD"/>
    <w:rsid w:val="00CA654B"/>
    <w:rsid w:val="00CA65D1"/>
    <w:rsid w:val="00CA6808"/>
    <w:rsid w:val="00CA6D62"/>
    <w:rsid w:val="00CA7EC8"/>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4F1"/>
    <w:rsid w:val="00D00EEE"/>
    <w:rsid w:val="00D00EF8"/>
    <w:rsid w:val="00D00F68"/>
    <w:rsid w:val="00D01157"/>
    <w:rsid w:val="00D01274"/>
    <w:rsid w:val="00D0268C"/>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828"/>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83"/>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23D"/>
    <w:rsid w:val="00D36584"/>
    <w:rsid w:val="00D3681C"/>
    <w:rsid w:val="00D36B1E"/>
    <w:rsid w:val="00D36BF3"/>
    <w:rsid w:val="00D36E65"/>
    <w:rsid w:val="00D372D5"/>
    <w:rsid w:val="00D37653"/>
    <w:rsid w:val="00D3765C"/>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4F2"/>
    <w:rsid w:val="00D55E47"/>
    <w:rsid w:val="00D5607D"/>
    <w:rsid w:val="00D56F1B"/>
    <w:rsid w:val="00D57D09"/>
    <w:rsid w:val="00D60068"/>
    <w:rsid w:val="00D60AA6"/>
    <w:rsid w:val="00D61C6D"/>
    <w:rsid w:val="00D61E98"/>
    <w:rsid w:val="00D62E19"/>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2FE"/>
    <w:rsid w:val="00D72FB7"/>
    <w:rsid w:val="00D73529"/>
    <w:rsid w:val="00D738D1"/>
    <w:rsid w:val="00D738D6"/>
    <w:rsid w:val="00D73F92"/>
    <w:rsid w:val="00D73FFB"/>
    <w:rsid w:val="00D742C8"/>
    <w:rsid w:val="00D74F7A"/>
    <w:rsid w:val="00D75013"/>
    <w:rsid w:val="00D75C28"/>
    <w:rsid w:val="00D765B9"/>
    <w:rsid w:val="00D76A5B"/>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9D3"/>
    <w:rsid w:val="00DB0D6E"/>
    <w:rsid w:val="00DB0DB8"/>
    <w:rsid w:val="00DB1818"/>
    <w:rsid w:val="00DB1AAF"/>
    <w:rsid w:val="00DB1F3D"/>
    <w:rsid w:val="00DB213D"/>
    <w:rsid w:val="00DB2F8E"/>
    <w:rsid w:val="00DB3450"/>
    <w:rsid w:val="00DB3861"/>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68F"/>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4667"/>
    <w:rsid w:val="00E149AF"/>
    <w:rsid w:val="00E16139"/>
    <w:rsid w:val="00E165E1"/>
    <w:rsid w:val="00E16FDD"/>
    <w:rsid w:val="00E17741"/>
    <w:rsid w:val="00E17A66"/>
    <w:rsid w:val="00E17B12"/>
    <w:rsid w:val="00E21C13"/>
    <w:rsid w:val="00E22F55"/>
    <w:rsid w:val="00E24226"/>
    <w:rsid w:val="00E24433"/>
    <w:rsid w:val="00E24506"/>
    <w:rsid w:val="00E2457D"/>
    <w:rsid w:val="00E24FF8"/>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6795C"/>
    <w:rsid w:val="00E70245"/>
    <w:rsid w:val="00E70307"/>
    <w:rsid w:val="00E70D7B"/>
    <w:rsid w:val="00E733FF"/>
    <w:rsid w:val="00E73D7E"/>
    <w:rsid w:val="00E73FED"/>
    <w:rsid w:val="00E7448B"/>
    <w:rsid w:val="00E75918"/>
    <w:rsid w:val="00E760C6"/>
    <w:rsid w:val="00E7659D"/>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1C50"/>
    <w:rsid w:val="00EB1DCA"/>
    <w:rsid w:val="00EB256B"/>
    <w:rsid w:val="00EB3070"/>
    <w:rsid w:val="00EB36A5"/>
    <w:rsid w:val="00EB432C"/>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0D37"/>
    <w:rsid w:val="00EE1E79"/>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42C9"/>
    <w:rsid w:val="00EF469B"/>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12E5"/>
    <w:rsid w:val="00F12C4F"/>
    <w:rsid w:val="00F136C7"/>
    <w:rsid w:val="00F13C89"/>
    <w:rsid w:val="00F14CA7"/>
    <w:rsid w:val="00F14F97"/>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34C4"/>
    <w:rsid w:val="00F336C7"/>
    <w:rsid w:val="00F33C38"/>
    <w:rsid w:val="00F3485D"/>
    <w:rsid w:val="00F34874"/>
    <w:rsid w:val="00F348AA"/>
    <w:rsid w:val="00F36100"/>
    <w:rsid w:val="00F36A97"/>
    <w:rsid w:val="00F36FC9"/>
    <w:rsid w:val="00F37019"/>
    <w:rsid w:val="00F373B2"/>
    <w:rsid w:val="00F37743"/>
    <w:rsid w:val="00F37FB3"/>
    <w:rsid w:val="00F406CB"/>
    <w:rsid w:val="00F4097B"/>
    <w:rsid w:val="00F40D04"/>
    <w:rsid w:val="00F425EC"/>
    <w:rsid w:val="00F42BF4"/>
    <w:rsid w:val="00F43B82"/>
    <w:rsid w:val="00F440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2606"/>
    <w:rsid w:val="00F53119"/>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A9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5F1B"/>
    <w:rsid w:val="00F86529"/>
    <w:rsid w:val="00F86F9A"/>
    <w:rsid w:val="00F87D4C"/>
    <w:rsid w:val="00F9077B"/>
    <w:rsid w:val="00F907C0"/>
    <w:rsid w:val="00F92378"/>
    <w:rsid w:val="00F926B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2AF"/>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1F5"/>
    <w:rsid w:val="00FE251B"/>
    <w:rsid w:val="00FE345F"/>
    <w:rsid w:val="00FE3DD3"/>
    <w:rsid w:val="00FE4E46"/>
    <w:rsid w:val="00FE5B2F"/>
    <w:rsid w:val="00FE5F63"/>
    <w:rsid w:val="00FE707E"/>
    <w:rsid w:val="00FF1289"/>
    <w:rsid w:val="00FF1D75"/>
    <w:rsid w:val="00FF2A77"/>
    <w:rsid w:val="00FF2BEF"/>
    <w:rsid w:val="00FF2C4C"/>
    <w:rsid w:val="00FF3078"/>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6.xml><?xml version="1.0" encoding="utf-8"?>
<ds:datastoreItem xmlns:ds="http://schemas.openxmlformats.org/officeDocument/2006/customXml" ds:itemID="{6F763CCC-6AA5-43CE-9AB1-755E2B1BB34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1150</TotalTime>
  <Pages>5</Pages>
  <Words>1859</Words>
  <Characters>10597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12432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Apple2</cp:lastModifiedBy>
  <cp:revision>96</cp:revision>
  <dcterms:created xsi:type="dcterms:W3CDTF">2024-03-28T13:29:00Z</dcterms:created>
  <dcterms:modified xsi:type="dcterms:W3CDTF">2024-11-07T15:50:00Z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